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91716" w14:textId="77777777" w:rsidR="00FD640A" w:rsidRDefault="00FD640A">
      <w:pPr>
        <w:jc w:val="center"/>
        <w:rPr>
          <w:rFonts w:ascii="Arial" w:eastAsia="Arial" w:hAnsi="Arial" w:cs="Arial"/>
          <w:b/>
          <w:bCs/>
          <w:color w:val="4BACC6"/>
          <w:sz w:val="40"/>
          <w:szCs w:val="40"/>
        </w:rPr>
      </w:pPr>
    </w:p>
    <w:p w14:paraId="0FD7978A" w14:textId="77777777" w:rsidR="00FD640A" w:rsidRDefault="00FD640A">
      <w:pPr>
        <w:jc w:val="center"/>
        <w:rPr>
          <w:rFonts w:ascii="Arial" w:eastAsia="Arial" w:hAnsi="Arial" w:cs="Arial"/>
          <w:b/>
          <w:bCs/>
          <w:color w:val="4BACC6"/>
          <w:sz w:val="40"/>
          <w:szCs w:val="40"/>
        </w:rPr>
      </w:pPr>
    </w:p>
    <w:p w14:paraId="5CDD35DD" w14:textId="77777777" w:rsidR="00FD640A" w:rsidRDefault="00FD640A">
      <w:pPr>
        <w:jc w:val="center"/>
        <w:rPr>
          <w:rFonts w:ascii="Arial" w:eastAsia="Arial" w:hAnsi="Arial" w:cs="Arial"/>
          <w:b/>
          <w:bCs/>
          <w:color w:val="4BACC6"/>
          <w:sz w:val="40"/>
          <w:szCs w:val="40"/>
        </w:rPr>
      </w:pPr>
    </w:p>
    <w:p w14:paraId="2D6849FC" w14:textId="77777777" w:rsidR="00FD640A" w:rsidRDefault="00000000">
      <w:pPr>
        <w:jc w:val="center"/>
        <w:rPr>
          <w:rFonts w:ascii="Arial" w:eastAsia="Arial" w:hAnsi="Arial" w:cs="Arial"/>
          <w:b/>
          <w:bCs/>
        </w:rPr>
      </w:pPr>
      <w:r>
        <w:rPr>
          <w:noProof/>
        </w:rPr>
        <w:drawing>
          <wp:inline distT="0" distB="0" distL="0" distR="0" wp14:anchorId="151B435D" wp14:editId="51F40CD8">
            <wp:extent cx="3568700" cy="4076700"/>
            <wp:effectExtent l="0" t="0" r="0" b="0"/>
            <wp:docPr id="6" name="image1.png" descr="Dragon"/>
            <wp:cNvGraphicFramePr/>
            <a:graphic xmlns:a="http://schemas.openxmlformats.org/drawingml/2006/main">
              <a:graphicData uri="http://schemas.openxmlformats.org/drawingml/2006/picture">
                <pic:pic xmlns:pic="http://schemas.openxmlformats.org/drawingml/2006/picture">
                  <pic:nvPicPr>
                    <pic:cNvPr id="0" name="image1.png" descr="Dragon"/>
                    <pic:cNvPicPr preferRelativeResize="0"/>
                  </pic:nvPicPr>
                  <pic:blipFill>
                    <a:blip r:embed="rId5"/>
                    <a:srcRect/>
                    <a:stretch>
                      <a:fillRect/>
                    </a:stretch>
                  </pic:blipFill>
                  <pic:spPr>
                    <a:xfrm>
                      <a:off x="0" y="0"/>
                      <a:ext cx="3568700" cy="4076700"/>
                    </a:xfrm>
                    <a:prstGeom prst="rect">
                      <a:avLst/>
                    </a:prstGeom>
                    <a:ln/>
                  </pic:spPr>
                </pic:pic>
              </a:graphicData>
            </a:graphic>
          </wp:inline>
        </w:drawing>
      </w:r>
    </w:p>
    <w:p w14:paraId="14EB1534" w14:textId="77777777" w:rsidR="00FD640A" w:rsidRDefault="00000000">
      <w:pPr>
        <w:jc w:val="center"/>
        <w:rPr>
          <w:rFonts w:ascii="Arial" w:eastAsia="Arial" w:hAnsi="Arial" w:cs="Arial"/>
          <w:b/>
          <w:bCs/>
          <w:color w:val="31849B"/>
          <w:sz w:val="44"/>
          <w:szCs w:val="44"/>
        </w:rPr>
      </w:pPr>
      <w:r>
        <w:rPr>
          <w:rFonts w:ascii="Arial" w:eastAsia="Arial" w:hAnsi="Arial" w:cs="Arial"/>
          <w:b/>
          <w:bCs/>
          <w:color w:val="31849B"/>
          <w:sz w:val="44"/>
          <w:szCs w:val="44"/>
        </w:rPr>
        <w:t>City of Cardiff Council</w:t>
      </w:r>
    </w:p>
    <w:p w14:paraId="19991867" w14:textId="77777777" w:rsidR="00FD640A" w:rsidRDefault="00000000">
      <w:pPr>
        <w:jc w:val="center"/>
        <w:rPr>
          <w:rFonts w:ascii="Arial" w:eastAsia="Arial" w:hAnsi="Arial" w:cs="Arial"/>
          <w:b/>
          <w:bCs/>
          <w:sz w:val="44"/>
          <w:szCs w:val="44"/>
        </w:rPr>
      </w:pPr>
      <w:r>
        <w:rPr>
          <w:rFonts w:ascii="Arial" w:eastAsia="Arial" w:hAnsi="Arial" w:cs="Arial"/>
          <w:b/>
          <w:bCs/>
          <w:sz w:val="44"/>
          <w:szCs w:val="44"/>
        </w:rPr>
        <w:t>Data Protection Incidents Policy &amp; Procedure</w:t>
      </w:r>
    </w:p>
    <w:p w14:paraId="2149D6DA" w14:textId="77777777" w:rsidR="00FD640A" w:rsidRDefault="00FD640A">
      <w:pPr>
        <w:jc w:val="center"/>
        <w:rPr>
          <w:rFonts w:ascii="Arial" w:eastAsia="Arial" w:hAnsi="Arial" w:cs="Arial"/>
          <w:b/>
          <w:bCs/>
        </w:rPr>
      </w:pPr>
    </w:p>
    <w:p w14:paraId="28C41BD9" w14:textId="77777777" w:rsidR="00FD640A" w:rsidRDefault="00FD640A">
      <w:pPr>
        <w:jc w:val="center"/>
        <w:rPr>
          <w:rFonts w:ascii="Arial" w:eastAsia="Arial" w:hAnsi="Arial" w:cs="Arial"/>
          <w:b/>
          <w:bCs/>
        </w:rPr>
      </w:pPr>
    </w:p>
    <w:p w14:paraId="066D2595" w14:textId="77777777" w:rsidR="00FD640A" w:rsidRDefault="00FD640A">
      <w:pPr>
        <w:jc w:val="center"/>
        <w:rPr>
          <w:rFonts w:ascii="Arial" w:eastAsia="Arial" w:hAnsi="Arial" w:cs="Arial"/>
          <w:b/>
          <w:bCs/>
        </w:rPr>
      </w:pPr>
    </w:p>
    <w:p w14:paraId="24477F20" w14:textId="77777777" w:rsidR="00FD640A" w:rsidRDefault="00000000">
      <w:pPr>
        <w:rPr>
          <w:rFonts w:ascii="Arial" w:eastAsia="Arial" w:hAnsi="Arial" w:cs="Arial"/>
          <w:b/>
          <w:bCs/>
        </w:rPr>
      </w:pPr>
      <w:r>
        <w:br w:type="page"/>
      </w:r>
      <w:r>
        <w:rPr>
          <w:rFonts w:ascii="Arial" w:eastAsia="Arial" w:hAnsi="Arial" w:cs="Arial"/>
          <w:b/>
          <w:bCs/>
        </w:rPr>
        <w:lastRenderedPageBreak/>
        <w:t>Document Control</w:t>
      </w:r>
    </w:p>
    <w:p w14:paraId="65E4B8BA" w14:textId="77777777" w:rsidR="00FD640A" w:rsidRDefault="00FD640A">
      <w:pPr>
        <w:rPr>
          <w:rFonts w:ascii="Arial" w:eastAsia="Arial" w:hAnsi="Arial" w:cs="Arial"/>
        </w:rPr>
      </w:pPr>
    </w:p>
    <w:tbl>
      <w:tblPr>
        <w:tblStyle w:val="a"/>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10"/>
        <w:gridCol w:w="7371"/>
      </w:tblGrid>
      <w:tr w:rsidR="00FD640A" w14:paraId="29BD5358" w14:textId="77777777">
        <w:trPr>
          <w:trHeight w:val="502"/>
        </w:trPr>
        <w:tc>
          <w:tcPr>
            <w:tcW w:w="2410" w:type="dxa"/>
          </w:tcPr>
          <w:p w14:paraId="128FAA10" w14:textId="77777777" w:rsidR="00FD640A" w:rsidRDefault="00000000">
            <w:pPr>
              <w:rPr>
                <w:rFonts w:ascii="Arial" w:eastAsia="Arial" w:hAnsi="Arial" w:cs="Arial"/>
                <w:b/>
                <w:bCs/>
                <w:color w:val="000000"/>
              </w:rPr>
            </w:pPr>
            <w:r>
              <w:rPr>
                <w:rFonts w:ascii="Arial" w:eastAsia="Arial" w:hAnsi="Arial" w:cs="Arial"/>
                <w:b/>
                <w:bCs/>
                <w:color w:val="000000"/>
              </w:rPr>
              <w:t>Organisation</w:t>
            </w:r>
          </w:p>
        </w:tc>
        <w:tc>
          <w:tcPr>
            <w:tcW w:w="7371" w:type="dxa"/>
          </w:tcPr>
          <w:p w14:paraId="2C7BF045" w14:textId="77777777" w:rsidR="00FD640A" w:rsidRDefault="00000000">
            <w:pPr>
              <w:rPr>
                <w:rFonts w:ascii="Arial" w:eastAsia="Arial" w:hAnsi="Arial" w:cs="Arial"/>
                <w:color w:val="000000"/>
                <w:sz w:val="24"/>
                <w:szCs w:val="24"/>
              </w:rPr>
            </w:pPr>
            <w:r>
              <w:rPr>
                <w:rFonts w:ascii="Arial" w:eastAsia="Arial" w:hAnsi="Arial" w:cs="Arial"/>
                <w:color w:val="000000"/>
                <w:sz w:val="24"/>
                <w:szCs w:val="24"/>
              </w:rPr>
              <w:t>Fairoak Primary School</w:t>
            </w:r>
          </w:p>
        </w:tc>
      </w:tr>
      <w:tr w:rsidR="00FD640A" w14:paraId="04D8AB6F" w14:textId="77777777">
        <w:tc>
          <w:tcPr>
            <w:tcW w:w="2410" w:type="dxa"/>
          </w:tcPr>
          <w:p w14:paraId="5F332D5C" w14:textId="77777777" w:rsidR="00FD640A" w:rsidRDefault="00000000">
            <w:pPr>
              <w:rPr>
                <w:rFonts w:ascii="Arial" w:eastAsia="Arial" w:hAnsi="Arial" w:cs="Arial"/>
                <w:color w:val="000000"/>
              </w:rPr>
            </w:pPr>
            <w:r>
              <w:rPr>
                <w:rFonts w:ascii="Arial" w:eastAsia="Arial" w:hAnsi="Arial" w:cs="Arial"/>
                <w:b/>
                <w:bCs/>
                <w:color w:val="000000"/>
              </w:rPr>
              <w:t>Title</w:t>
            </w:r>
          </w:p>
        </w:tc>
        <w:tc>
          <w:tcPr>
            <w:tcW w:w="7371" w:type="dxa"/>
          </w:tcPr>
          <w:p w14:paraId="49600CD2" w14:textId="77777777" w:rsidR="00FD640A" w:rsidRDefault="00000000">
            <w:pPr>
              <w:rPr>
                <w:rFonts w:ascii="Arial" w:eastAsia="Arial" w:hAnsi="Arial" w:cs="Arial"/>
                <w:color w:val="000000"/>
              </w:rPr>
            </w:pPr>
            <w:r>
              <w:rPr>
                <w:rFonts w:ascii="Arial" w:eastAsia="Arial" w:hAnsi="Arial" w:cs="Arial"/>
                <w:color w:val="000000"/>
              </w:rPr>
              <w:t>Data Protection Incidents Policy &amp; Procedure</w:t>
            </w:r>
          </w:p>
        </w:tc>
      </w:tr>
      <w:tr w:rsidR="00FD640A" w14:paraId="50EA22F2" w14:textId="77777777">
        <w:tc>
          <w:tcPr>
            <w:tcW w:w="2410" w:type="dxa"/>
          </w:tcPr>
          <w:p w14:paraId="07357E52" w14:textId="77777777" w:rsidR="00FD640A" w:rsidRDefault="00000000">
            <w:pPr>
              <w:rPr>
                <w:rFonts w:ascii="Arial" w:eastAsia="Arial" w:hAnsi="Arial" w:cs="Arial"/>
                <w:b/>
                <w:bCs/>
                <w:color w:val="000000"/>
              </w:rPr>
            </w:pPr>
            <w:r>
              <w:rPr>
                <w:rFonts w:ascii="Arial" w:eastAsia="Arial" w:hAnsi="Arial" w:cs="Arial"/>
                <w:b/>
                <w:bCs/>
                <w:color w:val="000000"/>
              </w:rPr>
              <w:t>Author</w:t>
            </w:r>
          </w:p>
        </w:tc>
        <w:tc>
          <w:tcPr>
            <w:tcW w:w="7371" w:type="dxa"/>
          </w:tcPr>
          <w:p w14:paraId="2A3BBDB9" w14:textId="77777777" w:rsidR="00FD640A" w:rsidRDefault="00000000">
            <w:pPr>
              <w:rPr>
                <w:rFonts w:ascii="Arial" w:eastAsia="Arial" w:hAnsi="Arial" w:cs="Arial"/>
                <w:color w:val="000000"/>
              </w:rPr>
            </w:pPr>
            <w:r>
              <w:rPr>
                <w:rFonts w:ascii="Arial" w:eastAsia="Arial" w:hAnsi="Arial" w:cs="Arial"/>
                <w:color w:val="000000"/>
              </w:rPr>
              <w:t>Schools Information Governance Support Officer on behalf of the Data Protection Officer</w:t>
            </w:r>
          </w:p>
        </w:tc>
      </w:tr>
      <w:tr w:rsidR="00FD640A" w14:paraId="26B0D3E9" w14:textId="77777777">
        <w:tc>
          <w:tcPr>
            <w:tcW w:w="2410" w:type="dxa"/>
          </w:tcPr>
          <w:p w14:paraId="414B755B" w14:textId="77777777" w:rsidR="00FD640A" w:rsidRDefault="00000000">
            <w:pPr>
              <w:rPr>
                <w:rFonts w:ascii="Arial" w:eastAsia="Arial" w:hAnsi="Arial" w:cs="Arial"/>
                <w:b/>
                <w:bCs/>
                <w:color w:val="000000"/>
              </w:rPr>
            </w:pPr>
            <w:r>
              <w:rPr>
                <w:rFonts w:ascii="Arial" w:eastAsia="Arial" w:hAnsi="Arial" w:cs="Arial"/>
                <w:b/>
                <w:bCs/>
                <w:color w:val="000000"/>
              </w:rPr>
              <w:t>Owner</w:t>
            </w:r>
          </w:p>
        </w:tc>
        <w:tc>
          <w:tcPr>
            <w:tcW w:w="7371" w:type="dxa"/>
          </w:tcPr>
          <w:p w14:paraId="06E1FCED" w14:textId="77777777" w:rsidR="00FD640A" w:rsidRDefault="00000000">
            <w:pPr>
              <w:rPr>
                <w:rFonts w:ascii="Arial" w:eastAsia="Arial" w:hAnsi="Arial" w:cs="Arial"/>
                <w:color w:val="000000"/>
              </w:rPr>
            </w:pPr>
            <w:r>
              <w:rPr>
                <w:rFonts w:ascii="Arial" w:eastAsia="Arial" w:hAnsi="Arial" w:cs="Arial"/>
                <w:color w:val="000000"/>
              </w:rPr>
              <w:t>Head Teacher and Governing Body</w:t>
            </w:r>
          </w:p>
        </w:tc>
      </w:tr>
      <w:tr w:rsidR="00FD640A" w14:paraId="159131AD" w14:textId="77777777">
        <w:tc>
          <w:tcPr>
            <w:tcW w:w="2410" w:type="dxa"/>
          </w:tcPr>
          <w:p w14:paraId="68BE53E1" w14:textId="77777777" w:rsidR="00FD640A" w:rsidRDefault="00000000">
            <w:pPr>
              <w:rPr>
                <w:rFonts w:ascii="Arial" w:eastAsia="Arial" w:hAnsi="Arial" w:cs="Arial"/>
                <w:b/>
                <w:bCs/>
                <w:color w:val="000000"/>
              </w:rPr>
            </w:pPr>
            <w:r>
              <w:rPr>
                <w:rFonts w:ascii="Arial" w:eastAsia="Arial" w:hAnsi="Arial" w:cs="Arial"/>
                <w:b/>
                <w:bCs/>
                <w:color w:val="000000"/>
              </w:rPr>
              <w:t>Protective Marking</w:t>
            </w:r>
          </w:p>
        </w:tc>
        <w:tc>
          <w:tcPr>
            <w:tcW w:w="7371" w:type="dxa"/>
          </w:tcPr>
          <w:p w14:paraId="68A4CE74" w14:textId="77777777" w:rsidR="00FD640A" w:rsidRDefault="00000000">
            <w:pPr>
              <w:rPr>
                <w:rFonts w:ascii="Arial" w:eastAsia="Arial" w:hAnsi="Arial" w:cs="Arial"/>
                <w:color w:val="000000"/>
              </w:rPr>
            </w:pPr>
            <w:r>
              <w:rPr>
                <w:rFonts w:ascii="Arial" w:eastAsia="Arial" w:hAnsi="Arial" w:cs="Arial"/>
                <w:color w:val="000000"/>
              </w:rPr>
              <w:t>NOT PROTECTIVELY MARKED</w:t>
            </w:r>
          </w:p>
        </w:tc>
      </w:tr>
      <w:tr w:rsidR="00FD640A" w14:paraId="21083346" w14:textId="77777777">
        <w:tc>
          <w:tcPr>
            <w:tcW w:w="2410" w:type="dxa"/>
          </w:tcPr>
          <w:p w14:paraId="7E2B8526" w14:textId="77777777" w:rsidR="00FD640A" w:rsidRDefault="00000000">
            <w:pPr>
              <w:rPr>
                <w:rFonts w:ascii="Arial" w:eastAsia="Arial" w:hAnsi="Arial" w:cs="Arial"/>
                <w:b/>
                <w:bCs/>
                <w:color w:val="000000"/>
              </w:rPr>
            </w:pPr>
            <w:r>
              <w:rPr>
                <w:rFonts w:ascii="Arial" w:eastAsia="Arial" w:hAnsi="Arial" w:cs="Arial"/>
                <w:b/>
                <w:bCs/>
                <w:color w:val="000000"/>
              </w:rPr>
              <w:t>Review date</w:t>
            </w:r>
          </w:p>
        </w:tc>
        <w:tc>
          <w:tcPr>
            <w:tcW w:w="7371" w:type="dxa"/>
          </w:tcPr>
          <w:p w14:paraId="669FF1B2" w14:textId="77777777" w:rsidR="00FD640A" w:rsidRDefault="00000000">
            <w:pPr>
              <w:rPr>
                <w:rFonts w:ascii="Arial" w:eastAsia="Arial" w:hAnsi="Arial" w:cs="Arial"/>
                <w:color w:val="000000"/>
              </w:rPr>
            </w:pPr>
            <w:r>
              <w:rPr>
                <w:rFonts w:ascii="Arial" w:eastAsia="Arial" w:hAnsi="Arial" w:cs="Arial"/>
                <w:color w:val="000000"/>
              </w:rPr>
              <w:t>Yearly</w:t>
            </w:r>
          </w:p>
        </w:tc>
      </w:tr>
    </w:tbl>
    <w:p w14:paraId="52A3D6B3" w14:textId="77777777" w:rsidR="00FD640A" w:rsidRDefault="00FD640A">
      <w:pPr>
        <w:rPr>
          <w:rFonts w:ascii="Arial" w:eastAsia="Arial" w:hAnsi="Arial" w:cs="Arial"/>
          <w:color w:val="000000"/>
        </w:rPr>
      </w:pPr>
    </w:p>
    <w:p w14:paraId="72707BCC" w14:textId="77777777" w:rsidR="00FD640A" w:rsidRDefault="00FD640A">
      <w:pPr>
        <w:rPr>
          <w:rFonts w:ascii="Arial" w:eastAsia="Arial" w:hAnsi="Arial" w:cs="Arial"/>
          <w:color w:val="000000"/>
        </w:rPr>
      </w:pPr>
    </w:p>
    <w:p w14:paraId="604A3B17" w14:textId="77777777" w:rsidR="00FD640A" w:rsidRDefault="00000000">
      <w:pPr>
        <w:rPr>
          <w:rFonts w:ascii="Arial" w:eastAsia="Arial" w:hAnsi="Arial" w:cs="Arial"/>
          <w:b/>
          <w:bCs/>
        </w:rPr>
      </w:pPr>
      <w:r>
        <w:rPr>
          <w:rFonts w:ascii="Arial" w:eastAsia="Arial" w:hAnsi="Arial" w:cs="Arial"/>
          <w:b/>
          <w:bCs/>
        </w:rPr>
        <w:t>Revision History</w:t>
      </w:r>
    </w:p>
    <w:p w14:paraId="1AC9D679" w14:textId="77777777" w:rsidR="00FD640A" w:rsidRDefault="00FD640A">
      <w:pPr>
        <w:rPr>
          <w:rFonts w:ascii="Arial" w:eastAsia="Arial" w:hAnsi="Arial" w:cs="Arial"/>
        </w:rPr>
      </w:pPr>
    </w:p>
    <w:tbl>
      <w:tblPr>
        <w:tblStyle w:val="a0"/>
        <w:tblW w:w="9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90"/>
        <w:gridCol w:w="2231"/>
        <w:gridCol w:w="1314"/>
        <w:gridCol w:w="4785"/>
      </w:tblGrid>
      <w:tr w:rsidR="00FD640A" w14:paraId="2EFA1C3D" w14:textId="77777777">
        <w:tc>
          <w:tcPr>
            <w:tcW w:w="1390" w:type="dxa"/>
          </w:tcPr>
          <w:p w14:paraId="4C358FC3" w14:textId="77777777" w:rsidR="00FD640A" w:rsidRDefault="00000000">
            <w:pPr>
              <w:ind w:left="72"/>
              <w:rPr>
                <w:rFonts w:ascii="Arial" w:eastAsia="Arial" w:hAnsi="Arial" w:cs="Arial"/>
                <w:b/>
                <w:bCs/>
                <w:color w:val="000000"/>
              </w:rPr>
            </w:pPr>
            <w:r>
              <w:rPr>
                <w:rFonts w:ascii="Arial" w:eastAsia="Arial" w:hAnsi="Arial" w:cs="Arial"/>
                <w:b/>
                <w:bCs/>
                <w:color w:val="000000"/>
              </w:rPr>
              <w:t>Revision Date</w:t>
            </w:r>
          </w:p>
        </w:tc>
        <w:tc>
          <w:tcPr>
            <w:tcW w:w="2231" w:type="dxa"/>
          </w:tcPr>
          <w:p w14:paraId="3DD90155" w14:textId="77777777" w:rsidR="00FD640A" w:rsidRDefault="00000000">
            <w:pPr>
              <w:ind w:left="72"/>
              <w:rPr>
                <w:rFonts w:ascii="Arial" w:eastAsia="Arial" w:hAnsi="Arial" w:cs="Arial"/>
                <w:b/>
                <w:bCs/>
                <w:color w:val="000000"/>
              </w:rPr>
            </w:pPr>
            <w:r>
              <w:rPr>
                <w:rFonts w:ascii="Arial" w:eastAsia="Arial" w:hAnsi="Arial" w:cs="Arial"/>
                <w:b/>
                <w:bCs/>
                <w:color w:val="000000"/>
              </w:rPr>
              <w:t>Revision</w:t>
            </w:r>
          </w:p>
        </w:tc>
        <w:tc>
          <w:tcPr>
            <w:tcW w:w="1314" w:type="dxa"/>
          </w:tcPr>
          <w:p w14:paraId="4914FD62" w14:textId="77777777" w:rsidR="00FD640A" w:rsidRDefault="00000000">
            <w:pPr>
              <w:ind w:left="72"/>
              <w:rPr>
                <w:rFonts w:ascii="Arial" w:eastAsia="Arial" w:hAnsi="Arial" w:cs="Arial"/>
                <w:b/>
                <w:bCs/>
                <w:color w:val="000000"/>
              </w:rPr>
            </w:pPr>
            <w:r>
              <w:rPr>
                <w:rFonts w:ascii="Arial" w:eastAsia="Arial" w:hAnsi="Arial" w:cs="Arial"/>
                <w:b/>
                <w:bCs/>
                <w:color w:val="000000"/>
              </w:rPr>
              <w:t>Previous Version</w:t>
            </w:r>
          </w:p>
        </w:tc>
        <w:tc>
          <w:tcPr>
            <w:tcW w:w="4785" w:type="dxa"/>
          </w:tcPr>
          <w:p w14:paraId="45497AD5" w14:textId="77777777" w:rsidR="00FD640A" w:rsidRDefault="00000000">
            <w:pPr>
              <w:ind w:left="72"/>
              <w:rPr>
                <w:rFonts w:ascii="Arial" w:eastAsia="Arial" w:hAnsi="Arial" w:cs="Arial"/>
                <w:b/>
                <w:bCs/>
                <w:color w:val="000000"/>
              </w:rPr>
            </w:pPr>
            <w:r>
              <w:rPr>
                <w:rFonts w:ascii="Arial" w:eastAsia="Arial" w:hAnsi="Arial" w:cs="Arial"/>
                <w:b/>
                <w:bCs/>
                <w:color w:val="000000"/>
              </w:rPr>
              <w:t>Description of Revision</w:t>
            </w:r>
          </w:p>
        </w:tc>
      </w:tr>
      <w:tr w:rsidR="00FD640A" w14:paraId="76C41694" w14:textId="77777777">
        <w:tc>
          <w:tcPr>
            <w:tcW w:w="1390" w:type="dxa"/>
          </w:tcPr>
          <w:p w14:paraId="4C1A285A" w14:textId="77777777" w:rsidR="00FD640A" w:rsidRDefault="00000000">
            <w:pPr>
              <w:ind w:left="72"/>
              <w:rPr>
                <w:rFonts w:ascii="Arial" w:eastAsia="Arial" w:hAnsi="Arial" w:cs="Arial"/>
                <w:color w:val="000000"/>
              </w:rPr>
            </w:pPr>
            <w:r>
              <w:rPr>
                <w:rFonts w:ascii="Arial" w:eastAsia="Arial" w:hAnsi="Arial" w:cs="Arial"/>
                <w:color w:val="000000"/>
              </w:rPr>
              <w:t>10/05/2018</w:t>
            </w:r>
          </w:p>
        </w:tc>
        <w:tc>
          <w:tcPr>
            <w:tcW w:w="2231" w:type="dxa"/>
          </w:tcPr>
          <w:p w14:paraId="228AD685" w14:textId="77777777" w:rsidR="00FD640A" w:rsidRDefault="00000000">
            <w:pPr>
              <w:ind w:left="72"/>
              <w:rPr>
                <w:rFonts w:ascii="Arial" w:eastAsia="Arial" w:hAnsi="Arial" w:cs="Arial"/>
                <w:color w:val="000000"/>
              </w:rPr>
            </w:pPr>
            <w:r>
              <w:rPr>
                <w:rFonts w:ascii="Arial" w:eastAsia="Arial" w:hAnsi="Arial" w:cs="Arial"/>
                <w:color w:val="000000"/>
              </w:rPr>
              <w:t>1.0</w:t>
            </w:r>
          </w:p>
        </w:tc>
        <w:tc>
          <w:tcPr>
            <w:tcW w:w="1314" w:type="dxa"/>
          </w:tcPr>
          <w:p w14:paraId="43546D48" w14:textId="77777777" w:rsidR="00FD640A" w:rsidRDefault="00000000">
            <w:pPr>
              <w:ind w:left="72"/>
              <w:rPr>
                <w:rFonts w:ascii="Arial" w:eastAsia="Arial" w:hAnsi="Arial" w:cs="Arial"/>
                <w:color w:val="000000"/>
              </w:rPr>
            </w:pPr>
            <w:r>
              <w:rPr>
                <w:rFonts w:ascii="Arial" w:eastAsia="Arial" w:hAnsi="Arial" w:cs="Arial"/>
                <w:color w:val="000000"/>
              </w:rPr>
              <w:t>N/A</w:t>
            </w:r>
          </w:p>
        </w:tc>
        <w:tc>
          <w:tcPr>
            <w:tcW w:w="4785" w:type="dxa"/>
          </w:tcPr>
          <w:p w14:paraId="18F12924" w14:textId="77777777" w:rsidR="00FD640A" w:rsidRDefault="00000000">
            <w:pPr>
              <w:ind w:left="72"/>
              <w:rPr>
                <w:rFonts w:ascii="Arial" w:eastAsia="Arial" w:hAnsi="Arial" w:cs="Arial"/>
                <w:color w:val="000000"/>
              </w:rPr>
            </w:pPr>
            <w:r>
              <w:rPr>
                <w:rFonts w:ascii="Arial" w:eastAsia="Arial" w:hAnsi="Arial" w:cs="Arial"/>
                <w:color w:val="000000"/>
              </w:rPr>
              <w:t>Policy created and signed off</w:t>
            </w:r>
          </w:p>
        </w:tc>
      </w:tr>
      <w:tr w:rsidR="00FD640A" w14:paraId="18F14438" w14:textId="77777777">
        <w:tc>
          <w:tcPr>
            <w:tcW w:w="1390" w:type="dxa"/>
          </w:tcPr>
          <w:p w14:paraId="5BA31710" w14:textId="77777777" w:rsidR="00FD640A" w:rsidRDefault="00FD640A">
            <w:pPr>
              <w:ind w:left="72"/>
              <w:rPr>
                <w:rFonts w:ascii="Arial" w:eastAsia="Arial" w:hAnsi="Arial" w:cs="Arial"/>
                <w:color w:val="000000"/>
              </w:rPr>
            </w:pPr>
          </w:p>
        </w:tc>
        <w:tc>
          <w:tcPr>
            <w:tcW w:w="2231" w:type="dxa"/>
          </w:tcPr>
          <w:p w14:paraId="1AB89EDA" w14:textId="77777777" w:rsidR="00FD640A" w:rsidRDefault="00FD640A">
            <w:pPr>
              <w:ind w:left="72"/>
              <w:rPr>
                <w:rFonts w:ascii="Arial" w:eastAsia="Arial" w:hAnsi="Arial" w:cs="Arial"/>
                <w:color w:val="000000"/>
              </w:rPr>
            </w:pPr>
          </w:p>
        </w:tc>
        <w:tc>
          <w:tcPr>
            <w:tcW w:w="1314" w:type="dxa"/>
          </w:tcPr>
          <w:p w14:paraId="37B2C319" w14:textId="77777777" w:rsidR="00FD640A" w:rsidRDefault="00FD640A">
            <w:pPr>
              <w:ind w:left="72"/>
              <w:rPr>
                <w:rFonts w:ascii="Arial" w:eastAsia="Arial" w:hAnsi="Arial" w:cs="Arial"/>
                <w:color w:val="000000"/>
              </w:rPr>
            </w:pPr>
          </w:p>
        </w:tc>
        <w:tc>
          <w:tcPr>
            <w:tcW w:w="4785" w:type="dxa"/>
          </w:tcPr>
          <w:p w14:paraId="5FF36EDF" w14:textId="77777777" w:rsidR="00FD640A" w:rsidRDefault="00FD640A">
            <w:pPr>
              <w:ind w:left="72"/>
              <w:rPr>
                <w:rFonts w:ascii="Arial" w:eastAsia="Arial" w:hAnsi="Arial" w:cs="Arial"/>
                <w:color w:val="000000"/>
              </w:rPr>
            </w:pPr>
          </w:p>
        </w:tc>
      </w:tr>
      <w:tr w:rsidR="00FD640A" w14:paraId="2C8F07EA" w14:textId="77777777">
        <w:tc>
          <w:tcPr>
            <w:tcW w:w="1390" w:type="dxa"/>
          </w:tcPr>
          <w:p w14:paraId="7AD2DEB3" w14:textId="77777777" w:rsidR="00FD640A" w:rsidRDefault="00FD640A">
            <w:pPr>
              <w:ind w:left="72"/>
              <w:rPr>
                <w:rFonts w:ascii="Arial" w:eastAsia="Arial" w:hAnsi="Arial" w:cs="Arial"/>
                <w:color w:val="000000"/>
                <w:sz w:val="20"/>
                <w:szCs w:val="20"/>
              </w:rPr>
            </w:pPr>
          </w:p>
        </w:tc>
        <w:tc>
          <w:tcPr>
            <w:tcW w:w="2231" w:type="dxa"/>
          </w:tcPr>
          <w:p w14:paraId="06B66860" w14:textId="77777777" w:rsidR="00FD640A" w:rsidRDefault="00FD640A">
            <w:pPr>
              <w:ind w:left="72"/>
              <w:rPr>
                <w:rFonts w:ascii="Arial" w:eastAsia="Arial" w:hAnsi="Arial" w:cs="Arial"/>
                <w:color w:val="000000"/>
                <w:sz w:val="20"/>
                <w:szCs w:val="20"/>
              </w:rPr>
            </w:pPr>
          </w:p>
        </w:tc>
        <w:tc>
          <w:tcPr>
            <w:tcW w:w="1314" w:type="dxa"/>
          </w:tcPr>
          <w:p w14:paraId="1ECEDB5B" w14:textId="77777777" w:rsidR="00FD640A" w:rsidRDefault="00FD640A">
            <w:pPr>
              <w:ind w:left="72"/>
              <w:rPr>
                <w:rFonts w:ascii="Arial" w:eastAsia="Arial" w:hAnsi="Arial" w:cs="Arial"/>
                <w:color w:val="000000"/>
                <w:sz w:val="20"/>
                <w:szCs w:val="20"/>
              </w:rPr>
            </w:pPr>
          </w:p>
        </w:tc>
        <w:tc>
          <w:tcPr>
            <w:tcW w:w="4785" w:type="dxa"/>
          </w:tcPr>
          <w:p w14:paraId="00C1F98B" w14:textId="77777777" w:rsidR="00FD640A" w:rsidRDefault="00FD640A">
            <w:pPr>
              <w:ind w:left="72"/>
              <w:rPr>
                <w:rFonts w:ascii="Arial" w:eastAsia="Arial" w:hAnsi="Arial" w:cs="Arial"/>
                <w:color w:val="000000"/>
                <w:sz w:val="20"/>
                <w:szCs w:val="20"/>
              </w:rPr>
            </w:pPr>
          </w:p>
        </w:tc>
      </w:tr>
      <w:tr w:rsidR="00FD640A" w14:paraId="4E53D334" w14:textId="77777777">
        <w:tc>
          <w:tcPr>
            <w:tcW w:w="1390" w:type="dxa"/>
          </w:tcPr>
          <w:p w14:paraId="062F5B41" w14:textId="77777777" w:rsidR="00FD640A" w:rsidRDefault="00FD640A">
            <w:pPr>
              <w:ind w:left="72"/>
              <w:rPr>
                <w:rFonts w:ascii="Arial" w:eastAsia="Arial" w:hAnsi="Arial" w:cs="Arial"/>
                <w:color w:val="000000"/>
                <w:sz w:val="20"/>
                <w:szCs w:val="20"/>
              </w:rPr>
            </w:pPr>
          </w:p>
        </w:tc>
        <w:tc>
          <w:tcPr>
            <w:tcW w:w="2231" w:type="dxa"/>
          </w:tcPr>
          <w:p w14:paraId="61CC70EA" w14:textId="77777777" w:rsidR="00FD640A" w:rsidRDefault="00FD640A">
            <w:pPr>
              <w:ind w:left="72"/>
              <w:rPr>
                <w:rFonts w:ascii="Arial" w:eastAsia="Arial" w:hAnsi="Arial" w:cs="Arial"/>
                <w:color w:val="000000"/>
                <w:sz w:val="20"/>
                <w:szCs w:val="20"/>
              </w:rPr>
            </w:pPr>
          </w:p>
        </w:tc>
        <w:tc>
          <w:tcPr>
            <w:tcW w:w="1314" w:type="dxa"/>
          </w:tcPr>
          <w:p w14:paraId="7B14AE36" w14:textId="77777777" w:rsidR="00FD640A" w:rsidRDefault="00FD640A">
            <w:pPr>
              <w:ind w:left="72"/>
              <w:rPr>
                <w:rFonts w:ascii="Arial" w:eastAsia="Arial" w:hAnsi="Arial" w:cs="Arial"/>
                <w:color w:val="000000"/>
                <w:sz w:val="20"/>
                <w:szCs w:val="20"/>
              </w:rPr>
            </w:pPr>
          </w:p>
        </w:tc>
        <w:tc>
          <w:tcPr>
            <w:tcW w:w="4785" w:type="dxa"/>
          </w:tcPr>
          <w:p w14:paraId="636C5709" w14:textId="77777777" w:rsidR="00FD640A" w:rsidRDefault="00FD640A">
            <w:pPr>
              <w:ind w:left="72"/>
              <w:rPr>
                <w:rFonts w:ascii="Arial" w:eastAsia="Arial" w:hAnsi="Arial" w:cs="Arial"/>
                <w:color w:val="000000"/>
                <w:sz w:val="20"/>
                <w:szCs w:val="20"/>
              </w:rPr>
            </w:pPr>
          </w:p>
        </w:tc>
      </w:tr>
      <w:tr w:rsidR="00FD640A" w14:paraId="5C37E6C7" w14:textId="77777777">
        <w:tc>
          <w:tcPr>
            <w:tcW w:w="1390" w:type="dxa"/>
          </w:tcPr>
          <w:p w14:paraId="00DA510E" w14:textId="77777777" w:rsidR="00FD640A" w:rsidRDefault="00FD640A">
            <w:pPr>
              <w:ind w:left="72"/>
              <w:rPr>
                <w:rFonts w:ascii="Arial" w:eastAsia="Arial" w:hAnsi="Arial" w:cs="Arial"/>
                <w:color w:val="000000"/>
                <w:sz w:val="20"/>
                <w:szCs w:val="20"/>
              </w:rPr>
            </w:pPr>
          </w:p>
        </w:tc>
        <w:tc>
          <w:tcPr>
            <w:tcW w:w="2231" w:type="dxa"/>
          </w:tcPr>
          <w:p w14:paraId="52642D6C" w14:textId="77777777" w:rsidR="00FD640A" w:rsidRDefault="00FD640A">
            <w:pPr>
              <w:ind w:left="72"/>
              <w:rPr>
                <w:rFonts w:ascii="Arial" w:eastAsia="Arial" w:hAnsi="Arial" w:cs="Arial"/>
                <w:color w:val="000000"/>
                <w:sz w:val="20"/>
                <w:szCs w:val="20"/>
              </w:rPr>
            </w:pPr>
          </w:p>
        </w:tc>
        <w:tc>
          <w:tcPr>
            <w:tcW w:w="1314" w:type="dxa"/>
          </w:tcPr>
          <w:p w14:paraId="682F6FEF" w14:textId="77777777" w:rsidR="00FD640A" w:rsidRDefault="00FD640A">
            <w:pPr>
              <w:ind w:left="72"/>
              <w:rPr>
                <w:rFonts w:ascii="Arial" w:eastAsia="Arial" w:hAnsi="Arial" w:cs="Arial"/>
                <w:color w:val="000000"/>
                <w:sz w:val="20"/>
                <w:szCs w:val="20"/>
              </w:rPr>
            </w:pPr>
          </w:p>
        </w:tc>
        <w:tc>
          <w:tcPr>
            <w:tcW w:w="4785" w:type="dxa"/>
          </w:tcPr>
          <w:p w14:paraId="7EE6181C" w14:textId="77777777" w:rsidR="00FD640A" w:rsidRDefault="00FD640A">
            <w:pPr>
              <w:ind w:left="72"/>
              <w:rPr>
                <w:rFonts w:ascii="Arial" w:eastAsia="Arial" w:hAnsi="Arial" w:cs="Arial"/>
                <w:color w:val="000000"/>
                <w:sz w:val="20"/>
                <w:szCs w:val="20"/>
              </w:rPr>
            </w:pPr>
          </w:p>
        </w:tc>
      </w:tr>
      <w:tr w:rsidR="00FD640A" w14:paraId="6DF2BBBD" w14:textId="77777777">
        <w:tc>
          <w:tcPr>
            <w:tcW w:w="1390" w:type="dxa"/>
          </w:tcPr>
          <w:p w14:paraId="679D3CD4" w14:textId="77777777" w:rsidR="00FD640A" w:rsidRDefault="00FD640A">
            <w:pPr>
              <w:ind w:left="72"/>
              <w:rPr>
                <w:rFonts w:ascii="Arial" w:eastAsia="Arial" w:hAnsi="Arial" w:cs="Arial"/>
                <w:color w:val="000000"/>
                <w:sz w:val="20"/>
                <w:szCs w:val="20"/>
              </w:rPr>
            </w:pPr>
          </w:p>
        </w:tc>
        <w:tc>
          <w:tcPr>
            <w:tcW w:w="2231" w:type="dxa"/>
          </w:tcPr>
          <w:p w14:paraId="1633775F" w14:textId="77777777" w:rsidR="00FD640A" w:rsidRDefault="00FD640A">
            <w:pPr>
              <w:ind w:left="72"/>
              <w:rPr>
                <w:rFonts w:ascii="Arial" w:eastAsia="Arial" w:hAnsi="Arial" w:cs="Arial"/>
                <w:color w:val="000000"/>
                <w:sz w:val="20"/>
                <w:szCs w:val="20"/>
              </w:rPr>
            </w:pPr>
          </w:p>
        </w:tc>
        <w:tc>
          <w:tcPr>
            <w:tcW w:w="1314" w:type="dxa"/>
          </w:tcPr>
          <w:p w14:paraId="4F772FA2" w14:textId="77777777" w:rsidR="00FD640A" w:rsidRDefault="00FD640A">
            <w:pPr>
              <w:ind w:left="72"/>
              <w:rPr>
                <w:rFonts w:ascii="Arial" w:eastAsia="Arial" w:hAnsi="Arial" w:cs="Arial"/>
                <w:color w:val="000000"/>
                <w:sz w:val="20"/>
                <w:szCs w:val="20"/>
              </w:rPr>
            </w:pPr>
          </w:p>
        </w:tc>
        <w:tc>
          <w:tcPr>
            <w:tcW w:w="4785" w:type="dxa"/>
          </w:tcPr>
          <w:p w14:paraId="2A6B3591" w14:textId="77777777" w:rsidR="00FD640A" w:rsidRDefault="00FD640A">
            <w:pPr>
              <w:ind w:left="72"/>
              <w:rPr>
                <w:rFonts w:ascii="Arial" w:eastAsia="Arial" w:hAnsi="Arial" w:cs="Arial"/>
                <w:color w:val="000000"/>
                <w:sz w:val="20"/>
                <w:szCs w:val="20"/>
              </w:rPr>
            </w:pPr>
          </w:p>
        </w:tc>
      </w:tr>
      <w:tr w:rsidR="00FD640A" w14:paraId="5CDF48DF" w14:textId="77777777">
        <w:tc>
          <w:tcPr>
            <w:tcW w:w="1390" w:type="dxa"/>
          </w:tcPr>
          <w:p w14:paraId="1419271E" w14:textId="77777777" w:rsidR="00FD640A" w:rsidRDefault="00FD640A">
            <w:pPr>
              <w:ind w:left="72"/>
              <w:rPr>
                <w:rFonts w:ascii="Arial" w:eastAsia="Arial" w:hAnsi="Arial" w:cs="Arial"/>
                <w:color w:val="000000"/>
                <w:sz w:val="20"/>
                <w:szCs w:val="20"/>
              </w:rPr>
            </w:pPr>
          </w:p>
        </w:tc>
        <w:tc>
          <w:tcPr>
            <w:tcW w:w="2231" w:type="dxa"/>
          </w:tcPr>
          <w:p w14:paraId="23FE5B47" w14:textId="77777777" w:rsidR="00FD640A" w:rsidRDefault="00FD640A">
            <w:pPr>
              <w:ind w:left="72"/>
              <w:rPr>
                <w:rFonts w:ascii="Arial" w:eastAsia="Arial" w:hAnsi="Arial" w:cs="Arial"/>
                <w:color w:val="000000"/>
                <w:sz w:val="20"/>
                <w:szCs w:val="20"/>
              </w:rPr>
            </w:pPr>
          </w:p>
        </w:tc>
        <w:tc>
          <w:tcPr>
            <w:tcW w:w="1314" w:type="dxa"/>
          </w:tcPr>
          <w:p w14:paraId="7000812A" w14:textId="77777777" w:rsidR="00FD640A" w:rsidRDefault="00FD640A">
            <w:pPr>
              <w:ind w:left="72"/>
              <w:rPr>
                <w:rFonts w:ascii="Arial" w:eastAsia="Arial" w:hAnsi="Arial" w:cs="Arial"/>
                <w:color w:val="000000"/>
                <w:sz w:val="20"/>
                <w:szCs w:val="20"/>
              </w:rPr>
            </w:pPr>
          </w:p>
        </w:tc>
        <w:tc>
          <w:tcPr>
            <w:tcW w:w="4785" w:type="dxa"/>
          </w:tcPr>
          <w:p w14:paraId="5E68284F" w14:textId="77777777" w:rsidR="00FD640A" w:rsidRDefault="00FD640A">
            <w:pPr>
              <w:ind w:left="72"/>
              <w:rPr>
                <w:rFonts w:ascii="Arial" w:eastAsia="Arial" w:hAnsi="Arial" w:cs="Arial"/>
                <w:color w:val="000000"/>
                <w:sz w:val="20"/>
                <w:szCs w:val="20"/>
              </w:rPr>
            </w:pPr>
          </w:p>
        </w:tc>
      </w:tr>
      <w:tr w:rsidR="00FD640A" w14:paraId="52B00868" w14:textId="77777777">
        <w:tc>
          <w:tcPr>
            <w:tcW w:w="1390" w:type="dxa"/>
          </w:tcPr>
          <w:p w14:paraId="7CFB7B9C" w14:textId="77777777" w:rsidR="00FD640A" w:rsidRDefault="00FD640A">
            <w:pPr>
              <w:ind w:left="72"/>
              <w:rPr>
                <w:rFonts w:ascii="Arial" w:eastAsia="Arial" w:hAnsi="Arial" w:cs="Arial"/>
                <w:color w:val="000000"/>
                <w:sz w:val="20"/>
                <w:szCs w:val="20"/>
              </w:rPr>
            </w:pPr>
          </w:p>
        </w:tc>
        <w:tc>
          <w:tcPr>
            <w:tcW w:w="2231" w:type="dxa"/>
          </w:tcPr>
          <w:p w14:paraId="56C1FF64" w14:textId="77777777" w:rsidR="00FD640A" w:rsidRDefault="00FD640A">
            <w:pPr>
              <w:ind w:left="72"/>
              <w:rPr>
                <w:rFonts w:ascii="Arial" w:eastAsia="Arial" w:hAnsi="Arial" w:cs="Arial"/>
                <w:color w:val="000000"/>
                <w:sz w:val="20"/>
                <w:szCs w:val="20"/>
              </w:rPr>
            </w:pPr>
          </w:p>
        </w:tc>
        <w:tc>
          <w:tcPr>
            <w:tcW w:w="1314" w:type="dxa"/>
          </w:tcPr>
          <w:p w14:paraId="6B6F7292" w14:textId="77777777" w:rsidR="00FD640A" w:rsidRDefault="00FD640A">
            <w:pPr>
              <w:ind w:left="72"/>
              <w:rPr>
                <w:rFonts w:ascii="Arial" w:eastAsia="Arial" w:hAnsi="Arial" w:cs="Arial"/>
                <w:color w:val="000000"/>
                <w:sz w:val="20"/>
                <w:szCs w:val="20"/>
              </w:rPr>
            </w:pPr>
          </w:p>
        </w:tc>
        <w:tc>
          <w:tcPr>
            <w:tcW w:w="4785" w:type="dxa"/>
          </w:tcPr>
          <w:p w14:paraId="2D8B43AD" w14:textId="77777777" w:rsidR="00FD640A" w:rsidRDefault="00FD640A">
            <w:pPr>
              <w:ind w:left="72"/>
              <w:rPr>
                <w:rFonts w:ascii="Arial" w:eastAsia="Arial" w:hAnsi="Arial" w:cs="Arial"/>
                <w:color w:val="000000"/>
                <w:sz w:val="20"/>
                <w:szCs w:val="20"/>
              </w:rPr>
            </w:pPr>
          </w:p>
        </w:tc>
      </w:tr>
    </w:tbl>
    <w:p w14:paraId="463F5F56" w14:textId="77777777" w:rsidR="00FD640A" w:rsidRDefault="00FD640A">
      <w:pPr>
        <w:rPr>
          <w:rFonts w:ascii="Arial" w:eastAsia="Arial" w:hAnsi="Arial" w:cs="Arial"/>
          <w:b/>
          <w:bCs/>
          <w:i/>
          <w:iCs/>
          <w:sz w:val="20"/>
          <w:szCs w:val="20"/>
        </w:rPr>
      </w:pPr>
    </w:p>
    <w:p w14:paraId="0839531E" w14:textId="77777777" w:rsidR="00FD640A" w:rsidRDefault="00000000">
      <w:pPr>
        <w:rPr>
          <w:i/>
          <w:iCs/>
          <w:color w:val="FFFFFF"/>
          <w:sz w:val="36"/>
          <w:szCs w:val="36"/>
        </w:rPr>
      </w:pPr>
      <w:r>
        <w:rPr>
          <w:rFonts w:ascii="Arial" w:eastAsia="Arial" w:hAnsi="Arial" w:cs="Arial"/>
          <w:b/>
          <w:bCs/>
          <w:i/>
          <w:iCs/>
          <w:sz w:val="20"/>
          <w:szCs w:val="20"/>
        </w:rPr>
        <w:t xml:space="preserve">This document is available in Welsh / </w:t>
      </w:r>
      <w:proofErr w:type="spellStart"/>
      <w:r>
        <w:rPr>
          <w:rFonts w:ascii="Arial" w:eastAsia="Arial" w:hAnsi="Arial" w:cs="Arial"/>
          <w:b/>
          <w:bCs/>
          <w:i/>
          <w:iCs/>
          <w:sz w:val="20"/>
          <w:szCs w:val="20"/>
        </w:rPr>
        <w:t>Mae’r</w:t>
      </w:r>
      <w:proofErr w:type="spellEnd"/>
      <w:r>
        <w:rPr>
          <w:rFonts w:ascii="Arial" w:eastAsia="Arial" w:hAnsi="Arial" w:cs="Arial"/>
          <w:b/>
          <w:bCs/>
          <w:i/>
          <w:iCs/>
          <w:sz w:val="20"/>
          <w:szCs w:val="20"/>
        </w:rPr>
        <w:t xml:space="preserve"> </w:t>
      </w:r>
      <w:proofErr w:type="spellStart"/>
      <w:r>
        <w:rPr>
          <w:rFonts w:ascii="Arial" w:eastAsia="Arial" w:hAnsi="Arial" w:cs="Arial"/>
          <w:b/>
          <w:bCs/>
          <w:i/>
          <w:iCs/>
          <w:sz w:val="20"/>
          <w:szCs w:val="20"/>
        </w:rPr>
        <w:t>ddogfen</w:t>
      </w:r>
      <w:proofErr w:type="spellEnd"/>
      <w:r>
        <w:rPr>
          <w:rFonts w:ascii="Arial" w:eastAsia="Arial" w:hAnsi="Arial" w:cs="Arial"/>
          <w:b/>
          <w:bCs/>
          <w:i/>
          <w:iCs/>
          <w:sz w:val="20"/>
          <w:szCs w:val="20"/>
        </w:rPr>
        <w:t xml:space="preserve"> hon </w:t>
      </w:r>
      <w:proofErr w:type="spellStart"/>
      <w:r>
        <w:rPr>
          <w:rFonts w:ascii="Arial" w:eastAsia="Arial" w:hAnsi="Arial" w:cs="Arial"/>
          <w:b/>
          <w:bCs/>
          <w:i/>
          <w:iCs/>
          <w:sz w:val="20"/>
          <w:szCs w:val="20"/>
        </w:rPr>
        <w:t>ar</w:t>
      </w:r>
      <w:proofErr w:type="spellEnd"/>
      <w:r>
        <w:rPr>
          <w:rFonts w:ascii="Arial" w:eastAsia="Arial" w:hAnsi="Arial" w:cs="Arial"/>
          <w:b/>
          <w:bCs/>
          <w:i/>
          <w:iCs/>
          <w:sz w:val="20"/>
          <w:szCs w:val="20"/>
        </w:rPr>
        <w:t xml:space="preserve"> </w:t>
      </w:r>
      <w:proofErr w:type="spellStart"/>
      <w:r>
        <w:rPr>
          <w:rFonts w:ascii="Arial" w:eastAsia="Arial" w:hAnsi="Arial" w:cs="Arial"/>
          <w:b/>
          <w:bCs/>
          <w:i/>
          <w:iCs/>
          <w:sz w:val="20"/>
          <w:szCs w:val="20"/>
        </w:rPr>
        <w:t>gael</w:t>
      </w:r>
      <w:proofErr w:type="spellEnd"/>
      <w:r>
        <w:rPr>
          <w:rFonts w:ascii="Arial" w:eastAsia="Arial" w:hAnsi="Arial" w:cs="Arial"/>
          <w:b/>
          <w:bCs/>
          <w:i/>
          <w:iCs/>
          <w:sz w:val="20"/>
          <w:szCs w:val="20"/>
        </w:rPr>
        <w:t xml:space="preserve"> </w:t>
      </w:r>
      <w:proofErr w:type="spellStart"/>
      <w:r>
        <w:rPr>
          <w:rFonts w:ascii="Arial" w:eastAsia="Arial" w:hAnsi="Arial" w:cs="Arial"/>
          <w:b/>
          <w:bCs/>
          <w:i/>
          <w:iCs/>
          <w:sz w:val="20"/>
          <w:szCs w:val="20"/>
        </w:rPr>
        <w:t>yn</w:t>
      </w:r>
      <w:proofErr w:type="spellEnd"/>
      <w:r>
        <w:rPr>
          <w:rFonts w:ascii="Arial" w:eastAsia="Arial" w:hAnsi="Arial" w:cs="Arial"/>
          <w:b/>
          <w:bCs/>
          <w:i/>
          <w:iCs/>
          <w:sz w:val="20"/>
          <w:szCs w:val="20"/>
        </w:rPr>
        <w:t xml:space="preserve"> </w:t>
      </w:r>
      <w:proofErr w:type="spellStart"/>
      <w:r>
        <w:rPr>
          <w:rFonts w:ascii="Arial" w:eastAsia="Arial" w:hAnsi="Arial" w:cs="Arial"/>
          <w:b/>
          <w:bCs/>
          <w:i/>
          <w:iCs/>
          <w:sz w:val="20"/>
          <w:szCs w:val="20"/>
        </w:rPr>
        <w:t>Gymraeg</w:t>
      </w:r>
      <w:proofErr w:type="spellEnd"/>
    </w:p>
    <w:p w14:paraId="1A365674" w14:textId="77777777" w:rsidR="00FD640A" w:rsidRDefault="00FD640A">
      <w:pPr>
        <w:jc w:val="center"/>
        <w:rPr>
          <w:rFonts w:ascii="Arial" w:eastAsia="Arial" w:hAnsi="Arial" w:cs="Arial"/>
          <w:b/>
          <w:bCs/>
          <w:sz w:val="28"/>
          <w:szCs w:val="28"/>
        </w:rPr>
      </w:pPr>
    </w:p>
    <w:p w14:paraId="319F6E97" w14:textId="77777777" w:rsidR="00FD640A" w:rsidRDefault="00000000">
      <w:pPr>
        <w:spacing w:after="0" w:line="240" w:lineRule="auto"/>
        <w:rPr>
          <w:rFonts w:ascii="Arial" w:eastAsia="Arial" w:hAnsi="Arial" w:cs="Arial"/>
          <w:b/>
          <w:bCs/>
          <w:color w:val="000000"/>
          <w:sz w:val="24"/>
          <w:szCs w:val="24"/>
        </w:rPr>
      </w:pPr>
      <w:r>
        <w:br w:type="page"/>
      </w:r>
    </w:p>
    <w:p w14:paraId="4C627783" w14:textId="77777777" w:rsidR="00FD640A" w:rsidRDefault="00000000">
      <w:pPr>
        <w:rPr>
          <w:rFonts w:ascii="Arial" w:eastAsia="Arial" w:hAnsi="Arial" w:cs="Arial"/>
          <w:b/>
          <w:bCs/>
          <w:color w:val="000000"/>
          <w:sz w:val="24"/>
          <w:szCs w:val="24"/>
        </w:rPr>
      </w:pPr>
      <w:r>
        <w:rPr>
          <w:rFonts w:ascii="Arial" w:eastAsia="Arial" w:hAnsi="Arial" w:cs="Arial"/>
          <w:b/>
          <w:bCs/>
          <w:color w:val="000000"/>
          <w:sz w:val="24"/>
          <w:szCs w:val="24"/>
        </w:rPr>
        <w:lastRenderedPageBreak/>
        <w:t>Data Protection Incidents Policy &amp; Procedure</w:t>
      </w:r>
    </w:p>
    <w:p w14:paraId="788FC290" w14:textId="77777777" w:rsidR="00FD640A" w:rsidRDefault="00FD640A">
      <w:pPr>
        <w:spacing w:after="0" w:line="240" w:lineRule="auto"/>
        <w:rPr>
          <w:rFonts w:ascii="Arial" w:eastAsia="Arial" w:hAnsi="Arial" w:cs="Arial"/>
          <w:color w:val="000000"/>
          <w:sz w:val="20"/>
          <w:szCs w:val="20"/>
        </w:rPr>
      </w:pPr>
    </w:p>
    <w:p w14:paraId="3E2816AF"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1 Introduction</w:t>
      </w:r>
    </w:p>
    <w:p w14:paraId="22FB0188" w14:textId="77777777" w:rsidR="00FD640A" w:rsidRDefault="00FD640A">
      <w:pPr>
        <w:spacing w:after="0" w:line="240" w:lineRule="auto"/>
        <w:rPr>
          <w:rFonts w:ascii="Arial" w:eastAsia="Arial" w:hAnsi="Arial" w:cs="Arial"/>
          <w:b/>
          <w:bCs/>
          <w:color w:val="000000"/>
          <w:sz w:val="24"/>
          <w:szCs w:val="24"/>
        </w:rPr>
      </w:pPr>
    </w:p>
    <w:p w14:paraId="12767C9A"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1.1 Fairoak Primary School is legally required under the Data Protection</w:t>
      </w:r>
    </w:p>
    <w:p w14:paraId="6696CA47"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legislation to ensure the security and confidentiality of the information/data it processes on behalf of its clients and employees.</w:t>
      </w:r>
    </w:p>
    <w:p w14:paraId="41DAF7AF" w14:textId="77777777" w:rsidR="00FD640A" w:rsidRDefault="00FD640A">
      <w:pPr>
        <w:spacing w:after="0" w:line="240" w:lineRule="auto"/>
        <w:rPr>
          <w:rFonts w:ascii="Arial" w:eastAsia="Arial" w:hAnsi="Arial" w:cs="Arial"/>
          <w:color w:val="000000"/>
          <w:sz w:val="24"/>
          <w:szCs w:val="24"/>
        </w:rPr>
      </w:pPr>
    </w:p>
    <w:p w14:paraId="085CD203"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1.2 Sometimes a loss of data may occur because this information/data is accidentally disclosed to unauthorized persons or, lost due to a fire or flood </w:t>
      </w:r>
      <w:proofErr w:type="gramStart"/>
      <w:r>
        <w:rPr>
          <w:rFonts w:ascii="Arial" w:eastAsia="Arial" w:hAnsi="Arial" w:cs="Arial"/>
          <w:color w:val="000000"/>
          <w:sz w:val="24"/>
          <w:szCs w:val="24"/>
        </w:rPr>
        <w:t>or,</w:t>
      </w:r>
      <w:proofErr w:type="gramEnd"/>
      <w:r>
        <w:rPr>
          <w:rFonts w:ascii="Arial" w:eastAsia="Arial" w:hAnsi="Arial" w:cs="Arial"/>
          <w:color w:val="000000"/>
          <w:sz w:val="24"/>
          <w:szCs w:val="24"/>
        </w:rPr>
        <w:t xml:space="preserve"> stolen as result of a targeted attack or the theft of a mobile computer device.</w:t>
      </w:r>
    </w:p>
    <w:p w14:paraId="6BF183F8" w14:textId="77777777" w:rsidR="00FD640A" w:rsidRDefault="00FD640A">
      <w:pPr>
        <w:spacing w:after="0" w:line="240" w:lineRule="auto"/>
        <w:rPr>
          <w:rFonts w:ascii="Arial" w:eastAsia="Arial" w:hAnsi="Arial" w:cs="Arial"/>
          <w:color w:val="000000"/>
          <w:sz w:val="24"/>
          <w:szCs w:val="24"/>
        </w:rPr>
      </w:pPr>
    </w:p>
    <w:p w14:paraId="2B60BADB"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2 Legislation</w:t>
      </w:r>
    </w:p>
    <w:p w14:paraId="38ED1D7B" w14:textId="77777777" w:rsidR="00FD640A" w:rsidRDefault="00FD640A">
      <w:pPr>
        <w:spacing w:after="0" w:line="240" w:lineRule="auto"/>
        <w:rPr>
          <w:rFonts w:ascii="Arial" w:eastAsia="Arial" w:hAnsi="Arial" w:cs="Arial"/>
          <w:b/>
          <w:bCs/>
          <w:color w:val="000000"/>
          <w:sz w:val="24"/>
          <w:szCs w:val="24"/>
        </w:rPr>
      </w:pPr>
    </w:p>
    <w:p w14:paraId="7B90BAD1"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2.1 Fairoak Primary School has an obligation to abide by all relevant legislation and European directives, including the:</w:t>
      </w:r>
    </w:p>
    <w:p w14:paraId="7A5BDA89" w14:textId="77777777" w:rsidR="00FD640A" w:rsidRDefault="00FD640A">
      <w:pPr>
        <w:spacing w:after="0" w:line="240" w:lineRule="auto"/>
        <w:rPr>
          <w:rFonts w:ascii="Arial" w:eastAsia="Arial" w:hAnsi="Arial" w:cs="Arial"/>
          <w:color w:val="000000"/>
          <w:sz w:val="24"/>
          <w:szCs w:val="24"/>
        </w:rPr>
      </w:pPr>
    </w:p>
    <w:p w14:paraId="30DBA84A"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The Data Protection Act 2018</w:t>
      </w:r>
    </w:p>
    <w:p w14:paraId="75D3F5B9"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The General Data Protection Regulation</w:t>
      </w:r>
    </w:p>
    <w:p w14:paraId="5F86A80D"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Human Rights Act (1998)</w:t>
      </w:r>
    </w:p>
    <w:p w14:paraId="4BE9DFA7"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Privacy and Electronic Communications Regulations (2003)</w:t>
      </w:r>
    </w:p>
    <w:p w14:paraId="6635D6D8" w14:textId="77777777" w:rsidR="00FD640A" w:rsidRDefault="00FD640A">
      <w:pPr>
        <w:spacing w:after="0" w:line="240" w:lineRule="auto"/>
        <w:rPr>
          <w:rFonts w:ascii="Arial" w:eastAsia="Arial" w:hAnsi="Arial" w:cs="Arial"/>
          <w:color w:val="000000"/>
          <w:sz w:val="24"/>
          <w:szCs w:val="24"/>
        </w:rPr>
      </w:pPr>
    </w:p>
    <w:p w14:paraId="3A7FF9C1"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3 Responsibilities</w:t>
      </w:r>
    </w:p>
    <w:p w14:paraId="5A9D406C" w14:textId="77777777" w:rsidR="00FD640A" w:rsidRDefault="00FD640A">
      <w:pPr>
        <w:spacing w:after="0" w:line="240" w:lineRule="auto"/>
        <w:rPr>
          <w:rFonts w:ascii="Arial" w:eastAsia="Arial" w:hAnsi="Arial" w:cs="Arial"/>
          <w:b/>
          <w:bCs/>
          <w:color w:val="000000"/>
          <w:sz w:val="24"/>
          <w:szCs w:val="24"/>
        </w:rPr>
      </w:pPr>
    </w:p>
    <w:p w14:paraId="5DBD4ADF"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3.1 The Head teacher and Governing Body, supported by the Data Protection Officer maintains overall responsibility for ensuring compliance with this procedure, including coordinating and managing the response to any reported incident, documentation of all steps taken, evidence collection, and closing out the Event, including overseeing any recommendation/actions as a result of the breach.</w:t>
      </w:r>
    </w:p>
    <w:p w14:paraId="41EE2C78" w14:textId="77777777" w:rsidR="00FD640A" w:rsidRDefault="00FD640A">
      <w:pPr>
        <w:spacing w:after="0" w:line="240" w:lineRule="auto"/>
        <w:rPr>
          <w:rFonts w:ascii="Arial" w:eastAsia="Arial" w:hAnsi="Arial" w:cs="Arial"/>
          <w:color w:val="000000"/>
          <w:sz w:val="24"/>
          <w:szCs w:val="24"/>
        </w:rPr>
      </w:pPr>
    </w:p>
    <w:p w14:paraId="692CE12A"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3.2 All employees have a responsibility to be aware of potential Security Incidents as defined in this Policy and are required to report all incidents, both actual and suspected. </w:t>
      </w:r>
    </w:p>
    <w:p w14:paraId="79C705D6" w14:textId="77777777" w:rsidR="00FD640A" w:rsidRDefault="00FD640A">
      <w:pPr>
        <w:spacing w:after="0" w:line="240" w:lineRule="auto"/>
        <w:rPr>
          <w:rFonts w:ascii="Arial" w:eastAsia="Arial" w:hAnsi="Arial" w:cs="Arial"/>
          <w:color w:val="000000"/>
          <w:sz w:val="24"/>
          <w:szCs w:val="24"/>
        </w:rPr>
      </w:pPr>
    </w:p>
    <w:p w14:paraId="6337CD10"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3.3 All Incidents must be reported to the Data Protection Officer via </w:t>
      </w:r>
      <w:hyperlink r:id="rId6">
        <w:r>
          <w:rPr>
            <w:rFonts w:ascii="Arial" w:eastAsia="Arial" w:hAnsi="Arial" w:cs="Arial"/>
            <w:color w:val="0000FF"/>
            <w:sz w:val="24"/>
            <w:szCs w:val="24"/>
            <w:u w:val="single"/>
          </w:rPr>
          <w:t>SchoolsInformationManagement@cardiff.gov.uk</w:t>
        </w:r>
      </w:hyperlink>
      <w:r>
        <w:rPr>
          <w:rFonts w:ascii="Arial" w:eastAsia="Arial" w:hAnsi="Arial" w:cs="Arial"/>
          <w:sz w:val="24"/>
          <w:szCs w:val="24"/>
        </w:rPr>
        <w:t xml:space="preserve"> </w:t>
      </w:r>
      <w:r>
        <w:rPr>
          <w:rFonts w:ascii="Arial" w:eastAsia="Arial" w:hAnsi="Arial" w:cs="Arial"/>
          <w:color w:val="000000"/>
          <w:sz w:val="24"/>
          <w:szCs w:val="24"/>
        </w:rPr>
        <w:t xml:space="preserve">immediately, but no longer than 24 hours after which the incident was </w:t>
      </w:r>
      <w:proofErr w:type="gramStart"/>
      <w:r>
        <w:rPr>
          <w:rFonts w:ascii="Arial" w:eastAsia="Arial" w:hAnsi="Arial" w:cs="Arial"/>
          <w:color w:val="000000"/>
          <w:sz w:val="24"/>
          <w:szCs w:val="24"/>
        </w:rPr>
        <w:t>known .</w:t>
      </w:r>
      <w:proofErr w:type="gramEnd"/>
      <w:r>
        <w:rPr>
          <w:rFonts w:ascii="Arial" w:eastAsia="Arial" w:hAnsi="Arial" w:cs="Arial"/>
          <w:color w:val="000000"/>
          <w:sz w:val="24"/>
          <w:szCs w:val="24"/>
        </w:rPr>
        <w:t xml:space="preserve">  Where an incident occurs over a weekend, which is not classed as a working day, such incidents must be reported no later than 12 noon on the next working day. </w:t>
      </w:r>
    </w:p>
    <w:p w14:paraId="6EC2D56C" w14:textId="77777777" w:rsidR="00FD640A" w:rsidRDefault="00FD640A">
      <w:pPr>
        <w:spacing w:after="0" w:line="240" w:lineRule="auto"/>
        <w:rPr>
          <w:rFonts w:ascii="Arial" w:eastAsia="Arial" w:hAnsi="Arial" w:cs="Arial"/>
          <w:color w:val="000000"/>
          <w:sz w:val="24"/>
          <w:szCs w:val="24"/>
        </w:rPr>
      </w:pPr>
    </w:p>
    <w:p w14:paraId="43827EAE" w14:textId="77777777" w:rsidR="00FD640A" w:rsidRDefault="00000000">
      <w:pPr>
        <w:spacing w:after="0" w:line="240" w:lineRule="auto"/>
        <w:rPr>
          <w:rFonts w:ascii="Arial" w:eastAsia="Arial" w:hAnsi="Arial" w:cs="Arial"/>
          <w:sz w:val="24"/>
          <w:szCs w:val="24"/>
        </w:rPr>
      </w:pPr>
      <w:r>
        <w:rPr>
          <w:rFonts w:ascii="Arial" w:eastAsia="Arial" w:hAnsi="Arial" w:cs="Arial"/>
          <w:color w:val="000000"/>
          <w:sz w:val="24"/>
          <w:szCs w:val="24"/>
        </w:rPr>
        <w:t xml:space="preserve">3.4 Reporting should be via the Schools Data Protection Incident Report Form at Appendix 1 of this Policy. It should be emailed to </w:t>
      </w:r>
      <w:hyperlink r:id="rId7">
        <w:r>
          <w:rPr>
            <w:rFonts w:ascii="Arial" w:eastAsia="Arial" w:hAnsi="Arial" w:cs="Arial"/>
            <w:color w:val="0000FF"/>
            <w:sz w:val="24"/>
            <w:szCs w:val="24"/>
            <w:u w:val="single"/>
          </w:rPr>
          <w:t>SchoolsInformationManagement@cardiff.gov.uk</w:t>
        </w:r>
      </w:hyperlink>
    </w:p>
    <w:p w14:paraId="0042A92A" w14:textId="77777777" w:rsidR="00FD640A" w:rsidRDefault="00FD640A">
      <w:pPr>
        <w:spacing w:after="0" w:line="240" w:lineRule="auto"/>
        <w:rPr>
          <w:rFonts w:ascii="Arial" w:eastAsia="Arial" w:hAnsi="Arial" w:cs="Arial"/>
          <w:color w:val="0000FF"/>
          <w:sz w:val="24"/>
          <w:szCs w:val="24"/>
        </w:rPr>
      </w:pPr>
    </w:p>
    <w:p w14:paraId="18605C78"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Head Teachers or Schools staff themselves </w:t>
      </w:r>
      <w:r>
        <w:rPr>
          <w:rFonts w:ascii="Arial" w:eastAsia="Arial" w:hAnsi="Arial" w:cs="Arial"/>
          <w:b/>
          <w:bCs/>
          <w:color w:val="000000"/>
          <w:sz w:val="24"/>
          <w:szCs w:val="24"/>
        </w:rPr>
        <w:t>must not</w:t>
      </w:r>
      <w:r>
        <w:rPr>
          <w:rFonts w:ascii="Arial" w:eastAsia="Arial" w:hAnsi="Arial" w:cs="Arial"/>
          <w:color w:val="000000"/>
          <w:sz w:val="24"/>
          <w:szCs w:val="24"/>
        </w:rPr>
        <w:t xml:space="preserve"> investigate what appears to be an incident. </w:t>
      </w:r>
    </w:p>
    <w:p w14:paraId="43C82184" w14:textId="77777777" w:rsidR="00FD640A" w:rsidRDefault="00FD640A">
      <w:pPr>
        <w:spacing w:after="0" w:line="240" w:lineRule="auto"/>
        <w:rPr>
          <w:rFonts w:ascii="Arial" w:eastAsia="Arial" w:hAnsi="Arial" w:cs="Arial"/>
          <w:color w:val="000000"/>
          <w:sz w:val="24"/>
          <w:szCs w:val="24"/>
        </w:rPr>
      </w:pPr>
    </w:p>
    <w:p w14:paraId="6FBA9674"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3.5 The Data Protection Officer may in appropriate cases authorise relevant officers to conduct such investigations. In such cases, reports into such incidents must be </w:t>
      </w:r>
      <w:r>
        <w:rPr>
          <w:rFonts w:ascii="Arial" w:eastAsia="Arial" w:hAnsi="Arial" w:cs="Arial"/>
          <w:color w:val="000000"/>
          <w:sz w:val="24"/>
          <w:szCs w:val="24"/>
        </w:rPr>
        <w:lastRenderedPageBreak/>
        <w:t xml:space="preserve">carried out immediately to ensure that any necessary action(s) is promptly taken with the final report issued to the Statutory Data Protection Officer </w:t>
      </w:r>
    </w:p>
    <w:p w14:paraId="642AD9D3" w14:textId="77777777" w:rsidR="00FD640A" w:rsidRDefault="00FD640A">
      <w:pPr>
        <w:spacing w:after="0" w:line="240" w:lineRule="auto"/>
        <w:rPr>
          <w:rFonts w:ascii="Arial" w:eastAsia="Arial" w:hAnsi="Arial" w:cs="Arial"/>
          <w:color w:val="000000"/>
          <w:sz w:val="20"/>
          <w:szCs w:val="20"/>
        </w:rPr>
      </w:pPr>
    </w:p>
    <w:p w14:paraId="5AF34CE4"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3.5 Technical staff and other relevant personnel are required to fully support the Data Protection Officer or staff as designated by the Data Protection Officer, in dealing with an Incident.</w:t>
      </w:r>
    </w:p>
    <w:p w14:paraId="42D9AD7B" w14:textId="77777777" w:rsidR="00FD640A" w:rsidRDefault="00FD640A">
      <w:pPr>
        <w:spacing w:after="0" w:line="240" w:lineRule="auto"/>
        <w:rPr>
          <w:rFonts w:ascii="Arial" w:eastAsia="Arial" w:hAnsi="Arial" w:cs="Arial"/>
          <w:color w:val="000000"/>
          <w:sz w:val="24"/>
          <w:szCs w:val="24"/>
        </w:rPr>
      </w:pPr>
    </w:p>
    <w:p w14:paraId="33E11BAE"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4 Data Protection Incidents</w:t>
      </w:r>
    </w:p>
    <w:p w14:paraId="5DEFAD70" w14:textId="77777777" w:rsidR="00FD640A" w:rsidRDefault="00FD640A">
      <w:pPr>
        <w:spacing w:after="0" w:line="240" w:lineRule="auto"/>
        <w:rPr>
          <w:rFonts w:ascii="Arial" w:eastAsia="Arial" w:hAnsi="Arial" w:cs="Arial"/>
          <w:b/>
          <w:bCs/>
          <w:color w:val="000000"/>
          <w:sz w:val="24"/>
          <w:szCs w:val="24"/>
        </w:rPr>
      </w:pPr>
    </w:p>
    <w:p w14:paraId="4EDD899D"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4.1 A Data Protection Incident is a situation where the </w:t>
      </w:r>
      <w:proofErr w:type="gramStart"/>
      <w:r>
        <w:rPr>
          <w:rFonts w:ascii="Arial" w:eastAsia="Arial" w:hAnsi="Arial" w:cs="Arial"/>
          <w:color w:val="000000"/>
          <w:sz w:val="24"/>
          <w:szCs w:val="24"/>
        </w:rPr>
        <w:t>School</w:t>
      </w:r>
      <w:proofErr w:type="gramEnd"/>
      <w:r>
        <w:rPr>
          <w:rFonts w:ascii="Arial" w:eastAsia="Arial" w:hAnsi="Arial" w:cs="Arial"/>
          <w:color w:val="000000"/>
          <w:sz w:val="24"/>
          <w:szCs w:val="24"/>
        </w:rPr>
        <w:t xml:space="preserve"> has lost control of the processing of data that contains personal and or confidential information which could result in distress/harm to the individuals (Data Subjects) whose data has been compromised or affect the commercial interests of </w:t>
      </w:r>
      <w:proofErr w:type="gramStart"/>
      <w:r>
        <w:rPr>
          <w:rFonts w:ascii="Arial" w:eastAsia="Arial" w:hAnsi="Arial" w:cs="Arial"/>
          <w:color w:val="000000"/>
          <w:sz w:val="24"/>
          <w:szCs w:val="24"/>
        </w:rPr>
        <w:t>third party</w:t>
      </w:r>
      <w:proofErr w:type="gramEnd"/>
      <w:r>
        <w:rPr>
          <w:rFonts w:ascii="Arial" w:eastAsia="Arial" w:hAnsi="Arial" w:cs="Arial"/>
          <w:color w:val="000000"/>
          <w:sz w:val="24"/>
          <w:szCs w:val="24"/>
        </w:rPr>
        <w:t xml:space="preserve"> organisations. Further details of types of data </w:t>
      </w:r>
      <w:proofErr w:type="gramStart"/>
      <w:r>
        <w:rPr>
          <w:rFonts w:ascii="Arial" w:eastAsia="Arial" w:hAnsi="Arial" w:cs="Arial"/>
          <w:color w:val="000000"/>
          <w:sz w:val="24"/>
          <w:szCs w:val="24"/>
        </w:rPr>
        <w:t>is</w:t>
      </w:r>
      <w:proofErr w:type="gramEnd"/>
      <w:r>
        <w:rPr>
          <w:rFonts w:ascii="Arial" w:eastAsia="Arial" w:hAnsi="Arial" w:cs="Arial"/>
          <w:color w:val="000000"/>
          <w:sz w:val="24"/>
          <w:szCs w:val="24"/>
        </w:rPr>
        <w:t xml:space="preserve"> specified in the Schools Data Protection Policy &amp; Procedure.</w:t>
      </w:r>
    </w:p>
    <w:p w14:paraId="23F52367" w14:textId="77777777" w:rsidR="00FD640A" w:rsidRDefault="00FD640A">
      <w:pPr>
        <w:spacing w:after="0" w:line="240" w:lineRule="auto"/>
        <w:rPr>
          <w:rFonts w:ascii="Arial" w:eastAsia="Arial" w:hAnsi="Arial" w:cs="Arial"/>
          <w:color w:val="000000"/>
          <w:sz w:val="24"/>
          <w:szCs w:val="24"/>
        </w:rPr>
      </w:pPr>
    </w:p>
    <w:p w14:paraId="0E5BF851"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4.2 Examples of Data Protection incidents would include loss of paper-based records that contain personal/confidential information of </w:t>
      </w:r>
      <w:proofErr w:type="gramStart"/>
      <w:r>
        <w:rPr>
          <w:rFonts w:ascii="Arial" w:eastAsia="Arial" w:hAnsi="Arial" w:cs="Arial"/>
          <w:color w:val="000000"/>
          <w:sz w:val="24"/>
          <w:szCs w:val="24"/>
        </w:rPr>
        <w:t>third party</w:t>
      </w:r>
      <w:proofErr w:type="gramEnd"/>
      <w:r>
        <w:rPr>
          <w:rFonts w:ascii="Arial" w:eastAsia="Arial" w:hAnsi="Arial" w:cs="Arial"/>
          <w:color w:val="000000"/>
          <w:sz w:val="24"/>
          <w:szCs w:val="24"/>
        </w:rPr>
        <w:t xml:space="preserve"> individuals, including citizens, businesses, employees, children or parents; this also includes commercially sensitive information (including contracts). Other typical examples include loss of control of documents containing the above information sent to third party individuals or internally, this would include emails sent to incorrect recipients or to generic mailboxes, or faxes sent to the incorrect number, or loss of an asset </w:t>
      </w:r>
      <w:r>
        <w:rPr>
          <w:rFonts w:ascii="Arial" w:eastAsia="Arial" w:hAnsi="Arial" w:cs="Arial"/>
          <w:sz w:val="24"/>
          <w:szCs w:val="24"/>
        </w:rPr>
        <w:t>such as laptops, storage devices, mobile phones etc.</w:t>
      </w:r>
    </w:p>
    <w:p w14:paraId="7952035B" w14:textId="77777777" w:rsidR="00FD640A" w:rsidRDefault="00FD640A">
      <w:pPr>
        <w:spacing w:after="0" w:line="240" w:lineRule="auto"/>
        <w:rPr>
          <w:rFonts w:ascii="Arial" w:eastAsia="Arial" w:hAnsi="Arial" w:cs="Arial"/>
          <w:color w:val="000000"/>
          <w:sz w:val="24"/>
          <w:szCs w:val="24"/>
        </w:rPr>
      </w:pPr>
    </w:p>
    <w:p w14:paraId="5A57A248"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4.3 Any complaints from a member of the public or an employee that they believe that their data may have been breached, or their rights of privacy have not been kept must be reported immediately to the Data Protection Officer via </w:t>
      </w:r>
      <w:r>
        <w:t>SchoolsInformationManagement@cardiff.gov.uk</w:t>
      </w:r>
    </w:p>
    <w:p w14:paraId="6EF99778" w14:textId="77777777" w:rsidR="00FD640A" w:rsidRDefault="00FD640A">
      <w:pPr>
        <w:spacing w:after="0" w:line="240" w:lineRule="auto"/>
        <w:rPr>
          <w:rFonts w:ascii="Arial" w:eastAsia="Arial" w:hAnsi="Arial" w:cs="Arial"/>
          <w:color w:val="000000"/>
          <w:sz w:val="24"/>
          <w:szCs w:val="24"/>
        </w:rPr>
      </w:pPr>
    </w:p>
    <w:p w14:paraId="7834C556"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4.4 Any individual who becomes aware of an actual, suspected or potential Data Protection Incident must complete the Data Protection Incident report form (see Appendix 1), forward it to </w:t>
      </w:r>
      <w:r>
        <w:rPr>
          <w:rFonts w:ascii="Arial" w:eastAsia="Arial" w:hAnsi="Arial" w:cs="Arial"/>
          <w:color w:val="0000FF"/>
          <w:sz w:val="24"/>
          <w:szCs w:val="24"/>
        </w:rPr>
        <w:t xml:space="preserve">SchoolsInformationManagement@cardiff.gov.uk </w:t>
      </w:r>
      <w:r>
        <w:rPr>
          <w:rFonts w:ascii="Arial" w:eastAsia="Arial" w:hAnsi="Arial" w:cs="Arial"/>
          <w:color w:val="000000"/>
          <w:sz w:val="24"/>
          <w:szCs w:val="24"/>
        </w:rPr>
        <w:t>AND report it immediately to the Head Teacher.</w:t>
      </w:r>
    </w:p>
    <w:p w14:paraId="1B836011" w14:textId="77777777" w:rsidR="00FD640A" w:rsidRDefault="00FD640A">
      <w:pPr>
        <w:spacing w:after="0" w:line="240" w:lineRule="auto"/>
        <w:rPr>
          <w:rFonts w:ascii="Arial" w:eastAsia="Arial" w:hAnsi="Arial" w:cs="Arial"/>
          <w:color w:val="000000"/>
          <w:sz w:val="24"/>
          <w:szCs w:val="24"/>
        </w:rPr>
      </w:pPr>
    </w:p>
    <w:p w14:paraId="1A092E57"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5</w:t>
      </w:r>
      <w:r>
        <w:rPr>
          <w:rFonts w:ascii="Arial" w:eastAsia="Arial" w:hAnsi="Arial" w:cs="Arial"/>
          <w:b/>
          <w:bCs/>
          <w:color w:val="FF0000"/>
          <w:sz w:val="24"/>
          <w:szCs w:val="24"/>
        </w:rPr>
        <w:t xml:space="preserve"> </w:t>
      </w:r>
      <w:r>
        <w:rPr>
          <w:rFonts w:ascii="Arial" w:eastAsia="Arial" w:hAnsi="Arial" w:cs="Arial"/>
          <w:b/>
          <w:bCs/>
          <w:sz w:val="24"/>
          <w:szCs w:val="24"/>
        </w:rPr>
        <w:t>Management of Reported Incidents</w:t>
      </w:r>
    </w:p>
    <w:p w14:paraId="6D4381FD" w14:textId="77777777" w:rsidR="00FD640A" w:rsidRDefault="00FD640A">
      <w:pPr>
        <w:spacing w:after="0" w:line="240" w:lineRule="auto"/>
        <w:rPr>
          <w:rFonts w:ascii="Arial" w:eastAsia="Arial" w:hAnsi="Arial" w:cs="Arial"/>
          <w:b/>
          <w:bCs/>
          <w:color w:val="000000"/>
          <w:sz w:val="24"/>
          <w:szCs w:val="24"/>
        </w:rPr>
      </w:pPr>
    </w:p>
    <w:p w14:paraId="51DEC490"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5.1 The Data Protection Officer, on behalf of Head Teacher and Governing Body will log all incidents immediately and will log the progress of an investigation, including the collection and securing of any relevant evidence as the investigation progresses.</w:t>
      </w:r>
    </w:p>
    <w:p w14:paraId="6A27B9AD" w14:textId="77777777" w:rsidR="00FD640A" w:rsidRDefault="00FD640A">
      <w:pPr>
        <w:spacing w:after="0" w:line="240" w:lineRule="auto"/>
        <w:rPr>
          <w:rFonts w:ascii="Arial" w:eastAsia="Arial" w:hAnsi="Arial" w:cs="Arial"/>
          <w:color w:val="000000"/>
          <w:sz w:val="24"/>
          <w:szCs w:val="24"/>
        </w:rPr>
      </w:pPr>
    </w:p>
    <w:p w14:paraId="110B1B3C"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5.2 Any information gathered </w:t>
      </w:r>
      <w:proofErr w:type="gramStart"/>
      <w:r>
        <w:rPr>
          <w:rFonts w:ascii="Arial" w:eastAsia="Arial" w:hAnsi="Arial" w:cs="Arial"/>
          <w:color w:val="000000"/>
          <w:sz w:val="24"/>
          <w:szCs w:val="24"/>
        </w:rPr>
        <w:t>during the course of</w:t>
      </w:r>
      <w:proofErr w:type="gramEnd"/>
      <w:r>
        <w:rPr>
          <w:rFonts w:ascii="Arial" w:eastAsia="Arial" w:hAnsi="Arial" w:cs="Arial"/>
          <w:color w:val="000000"/>
          <w:sz w:val="24"/>
          <w:szCs w:val="24"/>
        </w:rPr>
        <w:t xml:space="preserve"> an investigation is treated as potential evidence in a disciplinary, criminal or civil action. If the likelihood of legal, civil or criminal action is established, the involvement of police and legal support will be enlisted at the earliest opportunity.</w:t>
      </w:r>
    </w:p>
    <w:p w14:paraId="72208A29" w14:textId="77777777" w:rsidR="00FD640A" w:rsidRDefault="00FD640A">
      <w:pPr>
        <w:spacing w:after="0" w:line="240" w:lineRule="auto"/>
        <w:rPr>
          <w:rFonts w:ascii="Arial" w:eastAsia="Arial" w:hAnsi="Arial" w:cs="Arial"/>
          <w:color w:val="000000"/>
          <w:sz w:val="24"/>
          <w:szCs w:val="24"/>
        </w:rPr>
      </w:pPr>
    </w:p>
    <w:p w14:paraId="65613E07"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t>5.3 All evidence, in any format, will be retained securely by the Data Protection Officer, who will have sole responsibility for the authorising of access to other personnel as appropriate.  All evidence will be retained for a period of seven years.</w:t>
      </w:r>
    </w:p>
    <w:p w14:paraId="5E958B8D" w14:textId="77777777" w:rsidR="00FD640A" w:rsidRDefault="00FD640A">
      <w:pPr>
        <w:spacing w:after="0" w:line="240" w:lineRule="auto"/>
        <w:rPr>
          <w:rFonts w:ascii="Arial" w:eastAsia="Arial" w:hAnsi="Arial" w:cs="Arial"/>
          <w:color w:val="000000"/>
          <w:sz w:val="24"/>
          <w:szCs w:val="24"/>
        </w:rPr>
      </w:pPr>
    </w:p>
    <w:p w14:paraId="2A17877A" w14:textId="77777777" w:rsidR="00FD640A" w:rsidRDefault="00000000">
      <w:pP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5.4 In the event of multiple </w:t>
      </w:r>
      <w:proofErr w:type="gramStart"/>
      <w:r>
        <w:rPr>
          <w:rFonts w:ascii="Arial" w:eastAsia="Arial" w:hAnsi="Arial" w:cs="Arial"/>
          <w:color w:val="000000"/>
          <w:sz w:val="24"/>
          <w:szCs w:val="24"/>
        </w:rPr>
        <w:t>‘incident’</w:t>
      </w:r>
      <w:proofErr w:type="gramEnd"/>
      <w:r>
        <w:rPr>
          <w:rFonts w:ascii="Arial" w:eastAsia="Arial" w:hAnsi="Arial" w:cs="Arial"/>
          <w:color w:val="000000"/>
          <w:sz w:val="24"/>
          <w:szCs w:val="24"/>
        </w:rPr>
        <w:t xml:space="preserve"> Reports the Data Protection Officer, will prioritise response according to the criticality of the data at risk, or the danger of further compromise to the data subjects. </w:t>
      </w:r>
    </w:p>
    <w:p w14:paraId="63B51255" w14:textId="77777777" w:rsidR="00FD640A" w:rsidRDefault="00FD640A">
      <w:pPr>
        <w:spacing w:after="0" w:line="240" w:lineRule="auto"/>
        <w:rPr>
          <w:rFonts w:ascii="Arial" w:eastAsia="Arial" w:hAnsi="Arial" w:cs="Arial"/>
          <w:sz w:val="24"/>
          <w:szCs w:val="24"/>
        </w:rPr>
      </w:pPr>
    </w:p>
    <w:p w14:paraId="348D3DDE"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5.5 The Data Protection Officer is responsible for closing the incident after corrective measures have been set out.  The Data Protection Officer will require evidence of actions being implemented or rejected which will be stored as part of the investigation file.</w:t>
      </w:r>
    </w:p>
    <w:p w14:paraId="298B3236" w14:textId="77777777" w:rsidR="00FD640A" w:rsidRDefault="00FD640A">
      <w:pPr>
        <w:spacing w:after="0" w:line="240" w:lineRule="auto"/>
        <w:rPr>
          <w:rFonts w:ascii="Arial" w:eastAsia="Arial" w:hAnsi="Arial" w:cs="Arial"/>
          <w:color w:val="000000"/>
          <w:sz w:val="24"/>
          <w:szCs w:val="24"/>
        </w:rPr>
      </w:pPr>
    </w:p>
    <w:p w14:paraId="5C11FCCF"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5.6 The Data Protection Officer will determine within 72 hours of an incident occurring whether it needs to be reported to the Information Commissioners Office. Consideration of notification to the Information Commissioner is done in line with the ICO guidance of reporting breaches of personal data.</w:t>
      </w:r>
    </w:p>
    <w:p w14:paraId="391C7E12" w14:textId="77777777" w:rsidR="00FD640A" w:rsidRDefault="00FD640A">
      <w:pPr>
        <w:spacing w:after="0" w:line="240" w:lineRule="auto"/>
        <w:rPr>
          <w:rFonts w:ascii="Arial" w:eastAsia="Arial" w:hAnsi="Arial" w:cs="Arial"/>
          <w:sz w:val="24"/>
          <w:szCs w:val="24"/>
        </w:rPr>
      </w:pPr>
    </w:p>
    <w:p w14:paraId="151D4F75"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 xml:space="preserve">5.7 The Data Protection Officer will consider the rights and freedoms of data subjects when investigating breaches and </w:t>
      </w:r>
      <w:proofErr w:type="gramStart"/>
      <w:r>
        <w:rPr>
          <w:rFonts w:ascii="Arial" w:eastAsia="Arial" w:hAnsi="Arial" w:cs="Arial"/>
          <w:sz w:val="24"/>
          <w:szCs w:val="24"/>
        </w:rPr>
        <w:t>make a decision</w:t>
      </w:r>
      <w:proofErr w:type="gramEnd"/>
      <w:r>
        <w:rPr>
          <w:rFonts w:ascii="Arial" w:eastAsia="Arial" w:hAnsi="Arial" w:cs="Arial"/>
          <w:sz w:val="24"/>
          <w:szCs w:val="24"/>
        </w:rPr>
        <w:t xml:space="preserve"> on whether the individuals should be informed of the compromise of their information.</w:t>
      </w:r>
    </w:p>
    <w:p w14:paraId="207E09F5" w14:textId="77777777" w:rsidR="00FD640A" w:rsidRDefault="00FD640A">
      <w:pPr>
        <w:spacing w:after="0" w:line="240" w:lineRule="auto"/>
        <w:rPr>
          <w:rFonts w:ascii="Arial" w:eastAsia="Arial" w:hAnsi="Arial" w:cs="Arial"/>
          <w:sz w:val="24"/>
          <w:szCs w:val="24"/>
        </w:rPr>
      </w:pPr>
    </w:p>
    <w:p w14:paraId="1E50B64D"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5.8 The Data Protection Officer will manage all complaints received from the Information Commissioners Office and where appropriate will issue any questions or requests to the appropriate Council officers, who will be required to provide the necessary information as instructed.</w:t>
      </w:r>
    </w:p>
    <w:p w14:paraId="196E6797" w14:textId="77777777" w:rsidR="00FD640A" w:rsidRDefault="00FD640A">
      <w:pPr>
        <w:spacing w:after="0" w:line="240" w:lineRule="auto"/>
        <w:rPr>
          <w:rFonts w:ascii="Arial" w:eastAsia="Arial" w:hAnsi="Arial" w:cs="Arial"/>
          <w:sz w:val="24"/>
          <w:szCs w:val="24"/>
        </w:rPr>
      </w:pPr>
    </w:p>
    <w:p w14:paraId="3B88C780" w14:textId="77777777" w:rsidR="00FD640A" w:rsidRDefault="00FD640A">
      <w:pPr>
        <w:spacing w:after="0" w:line="240" w:lineRule="auto"/>
        <w:rPr>
          <w:rFonts w:ascii="Arial" w:eastAsia="Arial" w:hAnsi="Arial" w:cs="Arial"/>
          <w:sz w:val="24"/>
          <w:szCs w:val="24"/>
        </w:rPr>
      </w:pPr>
    </w:p>
    <w:p w14:paraId="095A4375" w14:textId="77777777" w:rsidR="00FD640A" w:rsidRDefault="00000000">
      <w:pPr>
        <w:spacing w:after="0" w:line="240" w:lineRule="auto"/>
        <w:rPr>
          <w:rFonts w:ascii="Arial" w:eastAsia="Arial" w:hAnsi="Arial" w:cs="Arial"/>
          <w:sz w:val="24"/>
          <w:szCs w:val="24"/>
        </w:rPr>
      </w:pPr>
      <w:r>
        <w:rPr>
          <w:rFonts w:ascii="Arial" w:eastAsia="Arial" w:hAnsi="Arial" w:cs="Arial"/>
          <w:b/>
          <w:bCs/>
          <w:sz w:val="24"/>
          <w:szCs w:val="24"/>
        </w:rPr>
        <w:t>6 Follow up &amp; Escalation of Actions</w:t>
      </w:r>
    </w:p>
    <w:p w14:paraId="66DA9DB1" w14:textId="77777777" w:rsidR="00FD640A" w:rsidRDefault="00FD640A">
      <w:pPr>
        <w:spacing w:after="0" w:line="240" w:lineRule="auto"/>
        <w:rPr>
          <w:rFonts w:ascii="Arial" w:eastAsia="Arial" w:hAnsi="Arial" w:cs="Arial"/>
          <w:sz w:val="24"/>
          <w:szCs w:val="24"/>
        </w:rPr>
      </w:pPr>
    </w:p>
    <w:p w14:paraId="6BE0865C"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 xml:space="preserve">6.1 Any actions that arise from incidents will be passed onto the Head Teacher and Governing Body for consideration .These actions must be implemented to mitigate the risk of future incidents, however the school as the data controller is ultimately responsible for determining how actions will be taken forward. </w:t>
      </w:r>
    </w:p>
    <w:p w14:paraId="1F8F6951" w14:textId="77777777" w:rsidR="00FD640A" w:rsidRDefault="00FD640A">
      <w:pPr>
        <w:spacing w:after="0" w:line="240" w:lineRule="auto"/>
        <w:rPr>
          <w:rFonts w:ascii="Arial" w:eastAsia="Arial" w:hAnsi="Arial" w:cs="Arial"/>
          <w:sz w:val="24"/>
          <w:szCs w:val="24"/>
        </w:rPr>
      </w:pPr>
    </w:p>
    <w:p w14:paraId="5BC7FF7F"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 xml:space="preserve">6.2 The Information Governance Schools Officer will follow up completion of these actions within the timeframes set out in the investigation reports. </w:t>
      </w:r>
    </w:p>
    <w:p w14:paraId="22A19862" w14:textId="77777777" w:rsidR="00FD640A" w:rsidRDefault="00FD640A">
      <w:pPr>
        <w:spacing w:after="0" w:line="240" w:lineRule="auto"/>
        <w:rPr>
          <w:rFonts w:ascii="Arial" w:eastAsia="Arial" w:hAnsi="Arial" w:cs="Arial"/>
          <w:sz w:val="24"/>
          <w:szCs w:val="24"/>
        </w:rPr>
      </w:pPr>
    </w:p>
    <w:p w14:paraId="2C5FBB00"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lastRenderedPageBreak/>
        <w:br/>
      </w:r>
      <w:r>
        <w:rPr>
          <w:rFonts w:ascii="Arial" w:eastAsia="Arial" w:hAnsi="Arial" w:cs="Arial"/>
          <w:b/>
          <w:bCs/>
          <w:noProof/>
          <w:color w:val="000000"/>
          <w:sz w:val="24"/>
          <w:szCs w:val="24"/>
        </w:rPr>
        <mc:AlternateContent>
          <mc:Choice Requires="wpg">
            <w:drawing>
              <wp:inline distT="0" distB="0" distL="0" distR="0" wp14:anchorId="1A9D8DF1" wp14:editId="295B175E">
                <wp:extent cx="5731510" cy="3285789"/>
                <wp:effectExtent l="0" t="0" r="0" b="0"/>
                <wp:docPr id="5" name="Group 5"/>
                <wp:cNvGraphicFramePr/>
                <a:graphic xmlns:a="http://schemas.openxmlformats.org/drawingml/2006/main">
                  <a:graphicData uri="http://schemas.microsoft.com/office/word/2010/wordprocessingGroup">
                    <wpg:wgp>
                      <wpg:cNvGrpSpPr/>
                      <wpg:grpSpPr>
                        <a:xfrm>
                          <a:off x="0" y="0"/>
                          <a:ext cx="5731510" cy="3285789"/>
                          <a:chOff x="0" y="0"/>
                          <a:chExt cx="5731500" cy="3347625"/>
                        </a:xfrm>
                      </wpg:grpSpPr>
                      <wpg:grpSp>
                        <wpg:cNvPr id="867524716" name="Group 867524716"/>
                        <wpg:cNvGrpSpPr/>
                        <wpg:grpSpPr>
                          <a:xfrm>
                            <a:off x="0" y="0"/>
                            <a:ext cx="5731500" cy="3285775"/>
                            <a:chOff x="0" y="0"/>
                            <a:chExt cx="5731500" cy="3285775"/>
                          </a:xfrm>
                        </wpg:grpSpPr>
                        <wps:wsp>
                          <wps:cNvPr id="1911966730" name="Rectangle 1911966730"/>
                          <wps:cNvSpPr/>
                          <wps:spPr>
                            <a:xfrm>
                              <a:off x="0" y="0"/>
                              <a:ext cx="5731500" cy="3285775"/>
                            </a:xfrm>
                            <a:prstGeom prst="rect">
                              <a:avLst/>
                            </a:prstGeom>
                            <a:noFill/>
                            <a:ln>
                              <a:noFill/>
                            </a:ln>
                          </wps:spPr>
                          <wps:txbx>
                            <w:txbxContent>
                              <w:p w14:paraId="70DDE6D4"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484511161" name="Rectangle: Rounded Corners 484511161"/>
                          <wps:cNvSpPr/>
                          <wps:spPr>
                            <a:xfrm>
                              <a:off x="2423577" y="1173"/>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29E6655E"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408328468" name="Text Box 408328468"/>
                          <wps:cNvSpPr txBox="1"/>
                          <wps:spPr>
                            <a:xfrm>
                              <a:off x="2451638" y="29234"/>
                              <a:ext cx="828232" cy="518708"/>
                            </a:xfrm>
                            <a:prstGeom prst="rect">
                              <a:avLst/>
                            </a:prstGeom>
                            <a:noFill/>
                            <a:ln>
                              <a:noFill/>
                            </a:ln>
                          </wps:spPr>
                          <wps:txbx>
                            <w:txbxContent>
                              <w:p w14:paraId="4D2DF89B" w14:textId="77777777" w:rsidR="00FD640A" w:rsidRDefault="00000000">
                                <w:pPr>
                                  <w:spacing w:after="0" w:line="215" w:lineRule="auto"/>
                                  <w:jc w:val="center"/>
                                  <w:textDirection w:val="btLr"/>
                                </w:pPr>
                                <w:r>
                                  <w:rPr>
                                    <w:color w:val="000000"/>
                                    <w:sz w:val="20"/>
                                  </w:rPr>
                                  <w:t>Incident reported</w:t>
                                </w:r>
                              </w:p>
                            </w:txbxContent>
                          </wps:txbx>
                          <wps:bodyPr spcFirstLastPara="1" wrap="square" lIns="38100" tIns="38100" rIns="38100" bIns="38100" anchor="ctr" anchorCtr="0">
                            <a:noAutofit/>
                          </wps:bodyPr>
                        </wps:wsp>
                        <wps:wsp>
                          <wps:cNvPr id="377872564" name="Freeform: Shape 377872564"/>
                          <wps:cNvSpPr/>
                          <wps:spPr>
                            <a:xfrm>
                              <a:off x="1511448" y="288588"/>
                              <a:ext cx="2708612" cy="2708612"/>
                            </a:xfrm>
                            <a:custGeom>
                              <a:avLst/>
                              <a:gdLst/>
                              <a:ahLst/>
                              <a:cxnLst/>
                              <a:rect l="l" t="t" r="r" b="b"/>
                              <a:pathLst>
                                <a:path w="120000" h="120000" extrusionOk="0">
                                  <a:moveTo>
                                    <a:pt x="84519" y="5238"/>
                                  </a:moveTo>
                                  <a:cubicBezTo>
                                    <a:pt x="89433" y="7438"/>
                                    <a:pt x="94028" y="10290"/>
                                    <a:pt x="98182" y="13716"/>
                                  </a:cubicBezTo>
                                </a:path>
                              </a:pathLst>
                            </a:custGeom>
                            <a:noFill/>
                            <a:ln w="9525" cap="flat" cmpd="sng">
                              <a:solidFill>
                                <a:srgbClr val="1D477C"/>
                              </a:solidFill>
                              <a:prstDash val="solid"/>
                              <a:round/>
                              <a:headEnd type="none" w="sm" len="sm"/>
                              <a:tailEnd type="none" w="sm" len="sm"/>
                            </a:ln>
                          </wps:spPr>
                          <wps:txbx>
                            <w:txbxContent>
                              <w:p w14:paraId="664F3D34"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2065829840" name="Rectangle: Rounded Corners 2065829840"/>
                          <wps:cNvSpPr/>
                          <wps:spPr>
                            <a:xfrm>
                              <a:off x="3596441" y="678326"/>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5C42ADF2"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915717111" name="Text Box 1915717111"/>
                          <wps:cNvSpPr txBox="1"/>
                          <wps:spPr>
                            <a:xfrm>
                              <a:off x="3624502" y="706387"/>
                              <a:ext cx="828232" cy="518708"/>
                            </a:xfrm>
                            <a:prstGeom prst="rect">
                              <a:avLst/>
                            </a:prstGeom>
                            <a:noFill/>
                            <a:ln>
                              <a:noFill/>
                            </a:ln>
                          </wps:spPr>
                          <wps:txbx>
                            <w:txbxContent>
                              <w:p w14:paraId="04874E99" w14:textId="77777777" w:rsidR="00FD640A" w:rsidRDefault="00000000">
                                <w:pPr>
                                  <w:spacing w:after="0" w:line="215" w:lineRule="auto"/>
                                  <w:jc w:val="center"/>
                                  <w:textDirection w:val="btLr"/>
                                </w:pPr>
                                <w:r>
                                  <w:rPr>
                                    <w:color w:val="000000"/>
                                    <w:sz w:val="20"/>
                                  </w:rPr>
                                  <w:t>Incident Logging and Prioritsation</w:t>
                                </w:r>
                              </w:p>
                            </w:txbxContent>
                          </wps:txbx>
                          <wps:bodyPr spcFirstLastPara="1" wrap="square" lIns="38100" tIns="38100" rIns="38100" bIns="38100" anchor="ctr" anchorCtr="0">
                            <a:noAutofit/>
                          </wps:bodyPr>
                        </wps:wsp>
                        <wps:wsp>
                          <wps:cNvPr id="484001886" name="Freeform: Shape 484001886"/>
                          <wps:cNvSpPr/>
                          <wps:spPr>
                            <a:xfrm>
                              <a:off x="1511448" y="288588"/>
                              <a:ext cx="2708612" cy="2708612"/>
                            </a:xfrm>
                            <a:custGeom>
                              <a:avLst/>
                              <a:gdLst/>
                              <a:ahLst/>
                              <a:cxnLst/>
                              <a:rect l="l" t="t" r="r" b="b"/>
                              <a:pathLst>
                                <a:path w="120000" h="120000" extrusionOk="0">
                                  <a:moveTo>
                                    <a:pt x="119065" y="49448"/>
                                  </a:moveTo>
                                  <a:cubicBezTo>
                                    <a:pt x="120312" y="56428"/>
                                    <a:pt x="120312" y="63573"/>
                                    <a:pt x="119065" y="70553"/>
                                  </a:cubicBezTo>
                                </a:path>
                              </a:pathLst>
                            </a:custGeom>
                            <a:noFill/>
                            <a:ln w="9525" cap="flat" cmpd="sng">
                              <a:solidFill>
                                <a:srgbClr val="1D477C"/>
                              </a:solidFill>
                              <a:prstDash val="solid"/>
                              <a:round/>
                              <a:headEnd type="none" w="sm" len="sm"/>
                              <a:tailEnd type="none" w="sm" len="sm"/>
                            </a:ln>
                          </wps:spPr>
                          <wps:txbx>
                            <w:txbxContent>
                              <w:p w14:paraId="65E6CA0D"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69236961" name="Rectangle: Rounded Corners 169236961"/>
                          <wps:cNvSpPr/>
                          <wps:spPr>
                            <a:xfrm>
                              <a:off x="3596441" y="2032632"/>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3EADCA23"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888247317" name="Text Box 1888247317"/>
                          <wps:cNvSpPr txBox="1"/>
                          <wps:spPr>
                            <a:xfrm>
                              <a:off x="3624502" y="2060693"/>
                              <a:ext cx="828232" cy="518708"/>
                            </a:xfrm>
                            <a:prstGeom prst="rect">
                              <a:avLst/>
                            </a:prstGeom>
                            <a:noFill/>
                            <a:ln>
                              <a:noFill/>
                            </a:ln>
                          </wps:spPr>
                          <wps:txbx>
                            <w:txbxContent>
                              <w:p w14:paraId="5BCBE065" w14:textId="77777777" w:rsidR="00FD640A" w:rsidRDefault="00000000">
                                <w:pPr>
                                  <w:spacing w:after="0" w:line="215" w:lineRule="auto"/>
                                  <w:jc w:val="center"/>
                                  <w:textDirection w:val="btLr"/>
                                </w:pPr>
                                <w:r>
                                  <w:rPr>
                                    <w:color w:val="000000"/>
                                    <w:sz w:val="20"/>
                                  </w:rPr>
                                  <w:t>Investigation</w:t>
                                </w:r>
                              </w:p>
                            </w:txbxContent>
                          </wps:txbx>
                          <wps:bodyPr spcFirstLastPara="1" wrap="square" lIns="38100" tIns="38100" rIns="38100" bIns="38100" anchor="ctr" anchorCtr="0">
                            <a:noAutofit/>
                          </wps:bodyPr>
                        </wps:wsp>
                        <wps:wsp>
                          <wps:cNvPr id="1126128987" name="Freeform: Shape 1126128987"/>
                          <wps:cNvSpPr/>
                          <wps:spPr>
                            <a:xfrm>
                              <a:off x="1511448" y="288588"/>
                              <a:ext cx="2708612" cy="2708612"/>
                            </a:xfrm>
                            <a:custGeom>
                              <a:avLst/>
                              <a:gdLst/>
                              <a:ahLst/>
                              <a:cxnLst/>
                              <a:rect l="l" t="t" r="r" b="b"/>
                              <a:pathLst>
                                <a:path w="120000" h="120000" extrusionOk="0">
                                  <a:moveTo>
                                    <a:pt x="98181" y="106284"/>
                                  </a:moveTo>
                                  <a:cubicBezTo>
                                    <a:pt x="94028" y="109710"/>
                                    <a:pt x="89432" y="112562"/>
                                    <a:pt x="84518" y="114762"/>
                                  </a:cubicBezTo>
                                </a:path>
                              </a:pathLst>
                            </a:custGeom>
                            <a:noFill/>
                            <a:ln w="9525" cap="flat" cmpd="sng">
                              <a:solidFill>
                                <a:srgbClr val="1D477C"/>
                              </a:solidFill>
                              <a:prstDash val="solid"/>
                              <a:round/>
                              <a:headEnd type="none" w="sm" len="sm"/>
                              <a:tailEnd type="none" w="sm" len="sm"/>
                            </a:ln>
                          </wps:spPr>
                          <wps:txbx>
                            <w:txbxContent>
                              <w:p w14:paraId="52F2E168"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285365668" name="Rectangle: Rounded Corners 1285365668"/>
                          <wps:cNvSpPr/>
                          <wps:spPr>
                            <a:xfrm>
                              <a:off x="2423577" y="2709785"/>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7C4FA69A"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449068025" name="Text Box 1449068025"/>
                          <wps:cNvSpPr txBox="1"/>
                          <wps:spPr>
                            <a:xfrm>
                              <a:off x="2451638" y="2737846"/>
                              <a:ext cx="828232" cy="518708"/>
                            </a:xfrm>
                            <a:prstGeom prst="rect">
                              <a:avLst/>
                            </a:prstGeom>
                            <a:noFill/>
                            <a:ln>
                              <a:noFill/>
                            </a:ln>
                          </wps:spPr>
                          <wps:txbx>
                            <w:txbxContent>
                              <w:p w14:paraId="15E0CAAC" w14:textId="77777777" w:rsidR="00FD640A" w:rsidRDefault="00000000">
                                <w:pPr>
                                  <w:spacing w:after="0" w:line="215" w:lineRule="auto"/>
                                  <w:jc w:val="center"/>
                                  <w:textDirection w:val="btLr"/>
                                </w:pPr>
                                <w:r>
                                  <w:rPr>
                                    <w:color w:val="000000"/>
                                    <w:sz w:val="20"/>
                                  </w:rPr>
                                  <w:t>Resolution and Recovery</w:t>
                                </w:r>
                              </w:p>
                            </w:txbxContent>
                          </wps:txbx>
                          <wps:bodyPr spcFirstLastPara="1" wrap="square" lIns="38100" tIns="38100" rIns="38100" bIns="38100" anchor="ctr" anchorCtr="0">
                            <a:noAutofit/>
                          </wps:bodyPr>
                        </wps:wsp>
                        <wps:wsp>
                          <wps:cNvPr id="1009086345" name="Freeform: Shape 1009086345"/>
                          <wps:cNvSpPr/>
                          <wps:spPr>
                            <a:xfrm>
                              <a:off x="1511448" y="288588"/>
                              <a:ext cx="2708612" cy="2708612"/>
                            </a:xfrm>
                            <a:custGeom>
                              <a:avLst/>
                              <a:gdLst/>
                              <a:ahLst/>
                              <a:cxnLst/>
                              <a:rect l="l" t="t" r="r" b="b"/>
                              <a:pathLst>
                                <a:path w="120000" h="120000" extrusionOk="0">
                                  <a:moveTo>
                                    <a:pt x="35481" y="114762"/>
                                  </a:moveTo>
                                  <a:cubicBezTo>
                                    <a:pt x="30567" y="112562"/>
                                    <a:pt x="25972" y="109710"/>
                                    <a:pt x="21818" y="106284"/>
                                  </a:cubicBezTo>
                                </a:path>
                              </a:pathLst>
                            </a:custGeom>
                            <a:noFill/>
                            <a:ln w="9525" cap="flat" cmpd="sng">
                              <a:solidFill>
                                <a:srgbClr val="1D477C"/>
                              </a:solidFill>
                              <a:prstDash val="solid"/>
                              <a:round/>
                              <a:headEnd type="none" w="sm" len="sm"/>
                              <a:tailEnd type="none" w="sm" len="sm"/>
                            </a:ln>
                          </wps:spPr>
                          <wps:txbx>
                            <w:txbxContent>
                              <w:p w14:paraId="098DFDD7"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335911910" name="Rectangle: Rounded Corners 335911910"/>
                          <wps:cNvSpPr/>
                          <wps:spPr>
                            <a:xfrm>
                              <a:off x="1250714" y="2032632"/>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3DFF99C4"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86397840" name="Text Box 186397840"/>
                          <wps:cNvSpPr txBox="1"/>
                          <wps:spPr>
                            <a:xfrm>
                              <a:off x="1278775" y="2060693"/>
                              <a:ext cx="828232" cy="518708"/>
                            </a:xfrm>
                            <a:prstGeom prst="rect">
                              <a:avLst/>
                            </a:prstGeom>
                            <a:noFill/>
                            <a:ln>
                              <a:noFill/>
                            </a:ln>
                          </wps:spPr>
                          <wps:txbx>
                            <w:txbxContent>
                              <w:p w14:paraId="4496A3A7" w14:textId="77777777" w:rsidR="00FD640A" w:rsidRDefault="00000000">
                                <w:pPr>
                                  <w:spacing w:after="0" w:line="215" w:lineRule="auto"/>
                                  <w:jc w:val="center"/>
                                  <w:textDirection w:val="btLr"/>
                                </w:pPr>
                                <w:r>
                                  <w:rPr>
                                    <w:color w:val="000000"/>
                                    <w:sz w:val="20"/>
                                  </w:rPr>
                                  <w:t>Follow up of Actions</w:t>
                                </w:r>
                              </w:p>
                            </w:txbxContent>
                          </wps:txbx>
                          <wps:bodyPr spcFirstLastPara="1" wrap="square" lIns="38100" tIns="38100" rIns="38100" bIns="38100" anchor="ctr" anchorCtr="0">
                            <a:noAutofit/>
                          </wps:bodyPr>
                        </wps:wsp>
                        <wps:wsp>
                          <wps:cNvPr id="2079637784" name="Freeform: Shape 2079637784"/>
                          <wps:cNvSpPr/>
                          <wps:spPr>
                            <a:xfrm>
                              <a:off x="1511448" y="288588"/>
                              <a:ext cx="2708612" cy="2708612"/>
                            </a:xfrm>
                            <a:custGeom>
                              <a:avLst/>
                              <a:gdLst/>
                              <a:ahLst/>
                              <a:cxnLst/>
                              <a:rect l="l" t="t" r="r" b="b"/>
                              <a:pathLst>
                                <a:path w="120000" h="120000" extrusionOk="0">
                                  <a:moveTo>
                                    <a:pt x="935" y="70552"/>
                                  </a:moveTo>
                                  <a:cubicBezTo>
                                    <a:pt x="-312" y="63572"/>
                                    <a:pt x="-312" y="56427"/>
                                    <a:pt x="935" y="49447"/>
                                  </a:cubicBezTo>
                                </a:path>
                              </a:pathLst>
                            </a:custGeom>
                            <a:noFill/>
                            <a:ln w="9525" cap="flat" cmpd="sng">
                              <a:solidFill>
                                <a:srgbClr val="1D477C"/>
                              </a:solidFill>
                              <a:prstDash val="solid"/>
                              <a:round/>
                              <a:headEnd type="none" w="sm" len="sm"/>
                              <a:tailEnd type="none" w="sm" len="sm"/>
                            </a:ln>
                          </wps:spPr>
                          <wps:txbx>
                            <w:txbxContent>
                              <w:p w14:paraId="462F9758"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1903301761" name="Rectangle: Rounded Corners 1903301761"/>
                          <wps:cNvSpPr/>
                          <wps:spPr>
                            <a:xfrm>
                              <a:off x="1250714" y="678326"/>
                              <a:ext cx="884354" cy="574830"/>
                            </a:xfrm>
                            <a:prstGeom prst="roundRect">
                              <a:avLst>
                                <a:gd name="adj" fmla="val 16667"/>
                              </a:avLst>
                            </a:prstGeom>
                            <a:gradFill>
                              <a:gsLst>
                                <a:gs pos="0">
                                  <a:srgbClr val="0A3265"/>
                                </a:gs>
                                <a:gs pos="80000">
                                  <a:srgbClr val="0E4284"/>
                                </a:gs>
                                <a:gs pos="100000">
                                  <a:srgbClr val="0B4388"/>
                                </a:gs>
                              </a:gsLst>
                              <a:lin ang="16200000" scaled="0"/>
                            </a:gradFill>
                            <a:ln>
                              <a:noFill/>
                            </a:ln>
                            <a:effectLst>
                              <a:outerShdw blurRad="40000" dist="23000" dir="5400000" rotWithShape="0">
                                <a:srgbClr val="000000">
                                  <a:alpha val="34902"/>
                                </a:srgbClr>
                              </a:outerShdw>
                            </a:effectLst>
                          </wps:spPr>
                          <wps:txbx>
                            <w:txbxContent>
                              <w:p w14:paraId="392E5B18"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s:wsp>
                          <wps:cNvPr id="400471187" name="Text Box 400471187"/>
                          <wps:cNvSpPr txBox="1"/>
                          <wps:spPr>
                            <a:xfrm>
                              <a:off x="1278775" y="706387"/>
                              <a:ext cx="828232" cy="518708"/>
                            </a:xfrm>
                            <a:prstGeom prst="rect">
                              <a:avLst/>
                            </a:prstGeom>
                            <a:noFill/>
                            <a:ln>
                              <a:noFill/>
                            </a:ln>
                          </wps:spPr>
                          <wps:txbx>
                            <w:txbxContent>
                              <w:p w14:paraId="63EFA461" w14:textId="77777777" w:rsidR="00FD640A" w:rsidRDefault="00000000">
                                <w:pPr>
                                  <w:spacing w:after="0" w:line="215" w:lineRule="auto"/>
                                  <w:jc w:val="center"/>
                                  <w:textDirection w:val="btLr"/>
                                </w:pPr>
                                <w:r>
                                  <w:rPr>
                                    <w:color w:val="000000"/>
                                    <w:sz w:val="20"/>
                                  </w:rPr>
                                  <w:t>Closure of Incident</w:t>
                                </w:r>
                              </w:p>
                            </w:txbxContent>
                          </wps:txbx>
                          <wps:bodyPr spcFirstLastPara="1" wrap="square" lIns="38100" tIns="38100" rIns="38100" bIns="38100" anchor="ctr" anchorCtr="0">
                            <a:noAutofit/>
                          </wps:bodyPr>
                        </wps:wsp>
                        <wps:wsp>
                          <wps:cNvPr id="1942824497" name="Freeform: Shape 1942824497"/>
                          <wps:cNvSpPr/>
                          <wps:spPr>
                            <a:xfrm>
                              <a:off x="1511448" y="288588"/>
                              <a:ext cx="2708612" cy="2708612"/>
                            </a:xfrm>
                            <a:custGeom>
                              <a:avLst/>
                              <a:gdLst/>
                              <a:ahLst/>
                              <a:cxnLst/>
                              <a:rect l="l" t="t" r="r" b="b"/>
                              <a:pathLst>
                                <a:path w="120000" h="120000" extrusionOk="0">
                                  <a:moveTo>
                                    <a:pt x="21819" y="13716"/>
                                  </a:moveTo>
                                  <a:cubicBezTo>
                                    <a:pt x="25972" y="10290"/>
                                    <a:pt x="30568" y="7438"/>
                                    <a:pt x="35482" y="5238"/>
                                  </a:cubicBezTo>
                                </a:path>
                              </a:pathLst>
                            </a:custGeom>
                            <a:noFill/>
                            <a:ln w="9525" cap="flat" cmpd="sng">
                              <a:solidFill>
                                <a:srgbClr val="1D477C"/>
                              </a:solidFill>
                              <a:prstDash val="solid"/>
                              <a:round/>
                              <a:headEnd type="none" w="sm" len="sm"/>
                              <a:tailEnd type="none" w="sm" len="sm"/>
                            </a:ln>
                          </wps:spPr>
                          <wps:txbx>
                            <w:txbxContent>
                              <w:p w14:paraId="466EAF3A" w14:textId="77777777" w:rsidR="00FD640A" w:rsidRDefault="00FD640A">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731510" cy="3285789"/>
                <wp:effectExtent b="0" l="0" r="0" t="0"/>
                <wp:docPr id="5"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731510" cy="3285789"/>
                        </a:xfrm>
                        <a:prstGeom prst="rect"/>
                        <a:ln/>
                      </pic:spPr>
                    </pic:pic>
                  </a:graphicData>
                </a:graphic>
              </wp:inline>
            </w:drawing>
          </mc:Fallback>
        </mc:AlternateContent>
      </w:r>
    </w:p>
    <w:p w14:paraId="6F95A8D8"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 xml:space="preserve"> </w:t>
      </w:r>
    </w:p>
    <w:p w14:paraId="5B7B4900" w14:textId="77777777" w:rsidR="00FD640A" w:rsidRDefault="00000000">
      <w:pPr>
        <w:spacing w:after="0" w:line="240" w:lineRule="auto"/>
        <w:rPr>
          <w:rFonts w:ascii="Arial" w:eastAsia="Arial" w:hAnsi="Arial" w:cs="Arial"/>
          <w:b/>
          <w:bCs/>
          <w:sz w:val="24"/>
          <w:szCs w:val="24"/>
        </w:rPr>
      </w:pPr>
      <w:r>
        <w:rPr>
          <w:rFonts w:ascii="Arial" w:eastAsia="Arial" w:hAnsi="Arial" w:cs="Arial"/>
          <w:b/>
          <w:bCs/>
          <w:sz w:val="24"/>
          <w:szCs w:val="24"/>
        </w:rPr>
        <w:t>7 Review &amp; Update</w:t>
      </w:r>
      <w:r>
        <w:rPr>
          <w:rFonts w:ascii="Arial" w:eastAsia="Arial" w:hAnsi="Arial" w:cs="Arial"/>
          <w:b/>
          <w:bCs/>
          <w:sz w:val="24"/>
          <w:szCs w:val="24"/>
        </w:rPr>
        <w:br/>
      </w:r>
    </w:p>
    <w:p w14:paraId="23AC5972" w14:textId="77777777" w:rsidR="00FD640A" w:rsidRDefault="00000000">
      <w:pPr>
        <w:spacing w:after="0" w:line="240" w:lineRule="auto"/>
        <w:rPr>
          <w:rFonts w:ascii="Arial" w:eastAsia="Arial" w:hAnsi="Arial" w:cs="Arial"/>
          <w:sz w:val="24"/>
          <w:szCs w:val="24"/>
        </w:rPr>
      </w:pPr>
      <w:r>
        <w:rPr>
          <w:rFonts w:ascii="Arial" w:eastAsia="Arial" w:hAnsi="Arial" w:cs="Arial"/>
          <w:sz w:val="24"/>
          <w:szCs w:val="24"/>
        </w:rPr>
        <w:t xml:space="preserve">7.1 This policy will be reviewed and updated annually or more </w:t>
      </w:r>
      <w:proofErr w:type="gramStart"/>
      <w:r>
        <w:rPr>
          <w:rFonts w:ascii="Arial" w:eastAsia="Arial" w:hAnsi="Arial" w:cs="Arial"/>
          <w:sz w:val="24"/>
          <w:szCs w:val="24"/>
        </w:rPr>
        <w:t>frequently</w:t>
      </w:r>
      <w:proofErr w:type="gramEnd"/>
      <w:r>
        <w:rPr>
          <w:rFonts w:ascii="Arial" w:eastAsia="Arial" w:hAnsi="Arial" w:cs="Arial"/>
          <w:sz w:val="24"/>
          <w:szCs w:val="24"/>
        </w:rPr>
        <w:t xml:space="preserve"> if necessary, to ensure that any changes to the Council’s organisation structure and business practices are properly reflected in the policy.</w:t>
      </w:r>
    </w:p>
    <w:p w14:paraId="25F03917" w14:textId="77777777" w:rsidR="00FD640A" w:rsidRDefault="00FD640A">
      <w:pPr>
        <w:spacing w:after="0" w:line="240" w:lineRule="auto"/>
        <w:rPr>
          <w:rFonts w:ascii="Arial" w:eastAsia="Arial" w:hAnsi="Arial" w:cs="Arial"/>
          <w:sz w:val="20"/>
          <w:szCs w:val="20"/>
        </w:rPr>
      </w:pPr>
    </w:p>
    <w:p w14:paraId="0BCAF68F" w14:textId="77777777" w:rsidR="00FD640A" w:rsidRDefault="00FD640A">
      <w:pPr>
        <w:spacing w:after="0" w:line="240" w:lineRule="auto"/>
        <w:rPr>
          <w:rFonts w:ascii="Arial" w:eastAsia="Arial" w:hAnsi="Arial" w:cs="Arial"/>
          <w:sz w:val="20"/>
          <w:szCs w:val="20"/>
        </w:rPr>
      </w:pPr>
    </w:p>
    <w:p w14:paraId="04617F34" w14:textId="77777777" w:rsidR="00FD640A" w:rsidRDefault="00FD640A">
      <w:pPr>
        <w:spacing w:after="0" w:line="240" w:lineRule="auto"/>
        <w:rPr>
          <w:rFonts w:ascii="Arial" w:eastAsia="Arial" w:hAnsi="Arial" w:cs="Arial"/>
          <w:sz w:val="20"/>
          <w:szCs w:val="20"/>
        </w:rPr>
      </w:pPr>
    </w:p>
    <w:p w14:paraId="2B59AAA9" w14:textId="77777777" w:rsidR="00FD640A" w:rsidRDefault="00FD640A">
      <w:pPr>
        <w:spacing w:after="0" w:line="240" w:lineRule="auto"/>
        <w:rPr>
          <w:rFonts w:ascii="Arial" w:eastAsia="Arial" w:hAnsi="Arial" w:cs="Arial"/>
          <w:sz w:val="20"/>
          <w:szCs w:val="20"/>
        </w:rPr>
      </w:pPr>
    </w:p>
    <w:p w14:paraId="29F4D4C9" w14:textId="77777777" w:rsidR="00FD640A" w:rsidRDefault="00FD640A">
      <w:pPr>
        <w:spacing w:after="0" w:line="240" w:lineRule="auto"/>
        <w:rPr>
          <w:rFonts w:ascii="Arial" w:eastAsia="Arial" w:hAnsi="Arial" w:cs="Arial"/>
          <w:sz w:val="20"/>
          <w:szCs w:val="20"/>
        </w:rPr>
      </w:pPr>
    </w:p>
    <w:p w14:paraId="3093F01F" w14:textId="77777777" w:rsidR="00FD640A" w:rsidRDefault="00FD640A">
      <w:pPr>
        <w:spacing w:after="0" w:line="240" w:lineRule="auto"/>
        <w:rPr>
          <w:rFonts w:ascii="Arial" w:eastAsia="Arial" w:hAnsi="Arial" w:cs="Arial"/>
          <w:sz w:val="20"/>
          <w:szCs w:val="20"/>
        </w:rPr>
      </w:pPr>
    </w:p>
    <w:p w14:paraId="366FAB94" w14:textId="77777777" w:rsidR="00FD640A" w:rsidRDefault="00FD640A">
      <w:pPr>
        <w:spacing w:after="0" w:line="240" w:lineRule="auto"/>
        <w:rPr>
          <w:rFonts w:ascii="Arial" w:eastAsia="Arial" w:hAnsi="Arial" w:cs="Arial"/>
          <w:sz w:val="20"/>
          <w:szCs w:val="20"/>
        </w:rPr>
      </w:pPr>
    </w:p>
    <w:p w14:paraId="75163031" w14:textId="77777777" w:rsidR="00FD640A" w:rsidRDefault="00FD640A">
      <w:pPr>
        <w:spacing w:after="0" w:line="240" w:lineRule="auto"/>
        <w:rPr>
          <w:rFonts w:ascii="Arial" w:eastAsia="Arial" w:hAnsi="Arial" w:cs="Arial"/>
          <w:sz w:val="20"/>
          <w:szCs w:val="20"/>
        </w:rPr>
      </w:pPr>
    </w:p>
    <w:p w14:paraId="6F43C96D" w14:textId="77777777" w:rsidR="00FD640A" w:rsidRDefault="00FD640A">
      <w:pPr>
        <w:spacing w:after="0" w:line="240" w:lineRule="auto"/>
        <w:rPr>
          <w:rFonts w:ascii="Arial" w:eastAsia="Arial" w:hAnsi="Arial" w:cs="Arial"/>
          <w:sz w:val="20"/>
          <w:szCs w:val="20"/>
        </w:rPr>
      </w:pPr>
    </w:p>
    <w:p w14:paraId="16933DBB" w14:textId="77777777" w:rsidR="00FD640A" w:rsidRDefault="00FD640A">
      <w:pPr>
        <w:spacing w:after="0" w:line="240" w:lineRule="auto"/>
        <w:rPr>
          <w:rFonts w:ascii="Arial" w:eastAsia="Arial" w:hAnsi="Arial" w:cs="Arial"/>
          <w:sz w:val="20"/>
          <w:szCs w:val="20"/>
        </w:rPr>
      </w:pPr>
    </w:p>
    <w:p w14:paraId="29B3EE66" w14:textId="77777777" w:rsidR="00FD640A" w:rsidRDefault="00FD640A">
      <w:pPr>
        <w:spacing w:after="0" w:line="240" w:lineRule="auto"/>
        <w:rPr>
          <w:rFonts w:ascii="Arial" w:eastAsia="Arial" w:hAnsi="Arial" w:cs="Arial"/>
          <w:sz w:val="20"/>
          <w:szCs w:val="20"/>
        </w:rPr>
      </w:pPr>
    </w:p>
    <w:p w14:paraId="76CD931F" w14:textId="77777777" w:rsidR="00FD640A" w:rsidRDefault="00FD640A">
      <w:pPr>
        <w:spacing w:after="0" w:line="240" w:lineRule="auto"/>
        <w:rPr>
          <w:rFonts w:ascii="Arial" w:eastAsia="Arial" w:hAnsi="Arial" w:cs="Arial"/>
          <w:sz w:val="20"/>
          <w:szCs w:val="20"/>
        </w:rPr>
      </w:pPr>
    </w:p>
    <w:p w14:paraId="479204D2" w14:textId="77777777" w:rsidR="00FD640A" w:rsidRDefault="00FD640A">
      <w:pPr>
        <w:spacing w:after="0" w:line="240" w:lineRule="auto"/>
        <w:rPr>
          <w:rFonts w:ascii="Arial" w:eastAsia="Arial" w:hAnsi="Arial" w:cs="Arial"/>
          <w:sz w:val="20"/>
          <w:szCs w:val="20"/>
        </w:rPr>
      </w:pPr>
    </w:p>
    <w:p w14:paraId="47CFD02B" w14:textId="77777777" w:rsidR="00FD640A" w:rsidRDefault="00FD640A">
      <w:pPr>
        <w:spacing w:after="0" w:line="240" w:lineRule="auto"/>
        <w:rPr>
          <w:rFonts w:ascii="Arial" w:eastAsia="Arial" w:hAnsi="Arial" w:cs="Arial"/>
          <w:sz w:val="20"/>
          <w:szCs w:val="20"/>
        </w:rPr>
      </w:pPr>
    </w:p>
    <w:p w14:paraId="0A71E056" w14:textId="77777777" w:rsidR="00FD640A" w:rsidRDefault="00FD640A">
      <w:pPr>
        <w:spacing w:after="0" w:line="240" w:lineRule="auto"/>
        <w:rPr>
          <w:rFonts w:ascii="Arial" w:eastAsia="Arial" w:hAnsi="Arial" w:cs="Arial"/>
          <w:sz w:val="20"/>
          <w:szCs w:val="20"/>
        </w:rPr>
      </w:pPr>
    </w:p>
    <w:p w14:paraId="4DB7E722" w14:textId="77777777" w:rsidR="00FD640A" w:rsidRDefault="00FD640A">
      <w:pPr>
        <w:spacing w:after="0" w:line="240" w:lineRule="auto"/>
        <w:rPr>
          <w:rFonts w:ascii="Arial" w:eastAsia="Arial" w:hAnsi="Arial" w:cs="Arial"/>
          <w:sz w:val="20"/>
          <w:szCs w:val="20"/>
        </w:rPr>
      </w:pPr>
    </w:p>
    <w:p w14:paraId="232ADD6B" w14:textId="77777777" w:rsidR="00FD640A" w:rsidRDefault="00FD640A">
      <w:pPr>
        <w:spacing w:after="0" w:line="240" w:lineRule="auto"/>
        <w:rPr>
          <w:rFonts w:ascii="Arial" w:eastAsia="Arial" w:hAnsi="Arial" w:cs="Arial"/>
          <w:sz w:val="20"/>
          <w:szCs w:val="20"/>
        </w:rPr>
      </w:pPr>
    </w:p>
    <w:p w14:paraId="3E7D1216" w14:textId="77777777" w:rsidR="00FD640A" w:rsidRDefault="00FD640A">
      <w:pPr>
        <w:spacing w:after="0" w:line="240" w:lineRule="auto"/>
        <w:rPr>
          <w:rFonts w:ascii="Arial" w:eastAsia="Arial" w:hAnsi="Arial" w:cs="Arial"/>
          <w:sz w:val="20"/>
          <w:szCs w:val="20"/>
        </w:rPr>
      </w:pPr>
    </w:p>
    <w:p w14:paraId="5F2BA304" w14:textId="77777777" w:rsidR="00FD640A" w:rsidRDefault="00FD640A">
      <w:pPr>
        <w:spacing w:after="0" w:line="240" w:lineRule="auto"/>
        <w:rPr>
          <w:rFonts w:ascii="Arial" w:eastAsia="Arial" w:hAnsi="Arial" w:cs="Arial"/>
          <w:sz w:val="20"/>
          <w:szCs w:val="20"/>
        </w:rPr>
      </w:pPr>
    </w:p>
    <w:p w14:paraId="2819C62B" w14:textId="77777777" w:rsidR="00FD640A" w:rsidRDefault="00FD640A">
      <w:pPr>
        <w:spacing w:after="0" w:line="240" w:lineRule="auto"/>
        <w:rPr>
          <w:rFonts w:ascii="Arial" w:eastAsia="Arial" w:hAnsi="Arial" w:cs="Arial"/>
          <w:sz w:val="20"/>
          <w:szCs w:val="20"/>
        </w:rPr>
      </w:pPr>
    </w:p>
    <w:p w14:paraId="7FD420CE" w14:textId="77777777" w:rsidR="00FD640A" w:rsidRDefault="00FD640A">
      <w:pPr>
        <w:spacing w:after="0" w:line="240" w:lineRule="auto"/>
        <w:rPr>
          <w:rFonts w:ascii="Arial" w:eastAsia="Arial" w:hAnsi="Arial" w:cs="Arial"/>
          <w:sz w:val="20"/>
          <w:szCs w:val="20"/>
        </w:rPr>
      </w:pPr>
    </w:p>
    <w:p w14:paraId="07FB8017" w14:textId="77777777" w:rsidR="00FD640A" w:rsidRDefault="00FD640A">
      <w:pPr>
        <w:spacing w:after="0" w:line="240" w:lineRule="auto"/>
        <w:rPr>
          <w:rFonts w:ascii="Arial" w:eastAsia="Arial" w:hAnsi="Arial" w:cs="Arial"/>
          <w:sz w:val="20"/>
          <w:szCs w:val="20"/>
        </w:rPr>
      </w:pPr>
    </w:p>
    <w:p w14:paraId="566DB291" w14:textId="77777777" w:rsidR="00FD640A" w:rsidRDefault="00FD640A">
      <w:pPr>
        <w:spacing w:after="0" w:line="240" w:lineRule="auto"/>
        <w:rPr>
          <w:rFonts w:ascii="Arial" w:eastAsia="Arial" w:hAnsi="Arial" w:cs="Arial"/>
          <w:sz w:val="20"/>
          <w:szCs w:val="20"/>
        </w:rPr>
      </w:pPr>
    </w:p>
    <w:p w14:paraId="49685811" w14:textId="77777777" w:rsidR="00FD640A" w:rsidRDefault="00FD640A">
      <w:pPr>
        <w:spacing w:after="0" w:line="240" w:lineRule="auto"/>
        <w:rPr>
          <w:rFonts w:ascii="Arial" w:eastAsia="Arial" w:hAnsi="Arial" w:cs="Arial"/>
          <w:sz w:val="20"/>
          <w:szCs w:val="20"/>
        </w:rPr>
      </w:pPr>
    </w:p>
    <w:p w14:paraId="43075386" w14:textId="77777777" w:rsidR="00FD640A" w:rsidRDefault="00FD640A">
      <w:pPr>
        <w:spacing w:after="0" w:line="240" w:lineRule="auto"/>
        <w:rPr>
          <w:rFonts w:ascii="Arial" w:eastAsia="Arial" w:hAnsi="Arial" w:cs="Arial"/>
          <w:sz w:val="20"/>
          <w:szCs w:val="20"/>
        </w:rPr>
      </w:pPr>
    </w:p>
    <w:p w14:paraId="0B1C233C" w14:textId="77777777" w:rsidR="00FD640A" w:rsidRDefault="00FD640A">
      <w:pPr>
        <w:spacing w:after="0" w:line="240" w:lineRule="auto"/>
        <w:rPr>
          <w:rFonts w:ascii="Arial" w:eastAsia="Arial" w:hAnsi="Arial" w:cs="Arial"/>
          <w:sz w:val="20"/>
          <w:szCs w:val="20"/>
        </w:rPr>
      </w:pPr>
    </w:p>
    <w:p w14:paraId="51806952" w14:textId="77777777" w:rsidR="00FD640A" w:rsidRDefault="00FD640A">
      <w:pPr>
        <w:spacing w:after="0" w:line="240" w:lineRule="auto"/>
        <w:rPr>
          <w:rFonts w:ascii="Arial" w:eastAsia="Arial" w:hAnsi="Arial" w:cs="Arial"/>
          <w:sz w:val="20"/>
          <w:szCs w:val="20"/>
        </w:rPr>
      </w:pPr>
    </w:p>
    <w:p w14:paraId="4655554A" w14:textId="77777777" w:rsidR="00FD640A" w:rsidRDefault="00FD640A">
      <w:pPr>
        <w:spacing w:after="0" w:line="240" w:lineRule="auto"/>
        <w:rPr>
          <w:rFonts w:ascii="Arial" w:eastAsia="Arial" w:hAnsi="Arial" w:cs="Arial"/>
          <w:sz w:val="20"/>
          <w:szCs w:val="20"/>
        </w:rPr>
      </w:pPr>
    </w:p>
    <w:p w14:paraId="52B5E44E" w14:textId="77777777" w:rsidR="00FD640A" w:rsidRDefault="00FD640A">
      <w:pPr>
        <w:spacing w:after="0" w:line="240" w:lineRule="auto"/>
        <w:rPr>
          <w:rFonts w:ascii="Arial" w:eastAsia="Arial" w:hAnsi="Arial" w:cs="Arial"/>
          <w:sz w:val="20"/>
          <w:szCs w:val="20"/>
        </w:rPr>
      </w:pPr>
    </w:p>
    <w:p w14:paraId="270457CF"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lastRenderedPageBreak/>
        <w:t>Appendix 1</w:t>
      </w:r>
    </w:p>
    <w:p w14:paraId="6CA96103" w14:textId="77777777" w:rsidR="00FD640A" w:rsidRDefault="00000000">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Data Protection Incident Report Form</w:t>
      </w:r>
    </w:p>
    <w:p w14:paraId="38FB8E80" w14:textId="77777777" w:rsidR="00FD640A" w:rsidRDefault="00FD640A">
      <w:pPr>
        <w:spacing w:after="0" w:line="240" w:lineRule="auto"/>
        <w:rPr>
          <w:rFonts w:ascii="Arial" w:eastAsia="Arial" w:hAnsi="Arial" w:cs="Arial"/>
          <w:b/>
          <w:bCs/>
          <w:color w:val="000000"/>
          <w:sz w:val="24"/>
          <w:szCs w:val="24"/>
        </w:rPr>
      </w:pPr>
    </w:p>
    <w:tbl>
      <w:tblPr>
        <w:tblStyle w:val="a1"/>
        <w:tblW w:w="9533"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4688"/>
        <w:gridCol w:w="4845"/>
      </w:tblGrid>
      <w:tr w:rsidR="00FD640A" w14:paraId="7341FD82" w14:textId="77777777" w:rsidTr="00FD640A">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9533" w:type="dxa"/>
            <w:gridSpan w:val="2"/>
          </w:tcPr>
          <w:p w14:paraId="2596993F" w14:textId="77777777" w:rsidR="00FD640A" w:rsidRDefault="00FD640A">
            <w:pPr>
              <w:jc w:val="center"/>
              <w:rPr>
                <w:rFonts w:ascii="Arial" w:eastAsia="Arial" w:hAnsi="Arial" w:cs="Arial"/>
                <w:color w:val="000000"/>
                <w:sz w:val="28"/>
                <w:szCs w:val="28"/>
              </w:rPr>
            </w:pPr>
          </w:p>
          <w:p w14:paraId="1D81CA13" w14:textId="77777777" w:rsidR="00FD640A" w:rsidRDefault="00000000">
            <w:pPr>
              <w:jc w:val="center"/>
              <w:rPr>
                <w:rFonts w:ascii="Arial" w:eastAsia="Arial" w:hAnsi="Arial" w:cs="Arial"/>
                <w:sz w:val="28"/>
                <w:szCs w:val="28"/>
              </w:rPr>
            </w:pPr>
            <w:r>
              <w:rPr>
                <w:rFonts w:ascii="Arial" w:eastAsia="Arial" w:hAnsi="Arial" w:cs="Arial"/>
                <w:sz w:val="28"/>
                <w:szCs w:val="28"/>
              </w:rPr>
              <w:t>Schools Data Protection Incident Report Form</w:t>
            </w:r>
          </w:p>
          <w:p w14:paraId="1731F99F" w14:textId="77777777" w:rsidR="00FD640A" w:rsidRDefault="00FD640A">
            <w:pPr>
              <w:jc w:val="center"/>
              <w:rPr>
                <w:rFonts w:ascii="Arial" w:eastAsia="Arial" w:hAnsi="Arial" w:cs="Arial"/>
                <w:color w:val="000000"/>
                <w:sz w:val="28"/>
                <w:szCs w:val="28"/>
              </w:rPr>
            </w:pPr>
          </w:p>
        </w:tc>
      </w:tr>
      <w:tr w:rsidR="00FD640A" w14:paraId="1DE2041D" w14:textId="77777777" w:rsidTr="00FD640A">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45A75FA2" w14:textId="77777777" w:rsidR="00FD640A" w:rsidRDefault="00000000">
            <w:pPr>
              <w:rPr>
                <w:rFonts w:ascii="Arial" w:eastAsia="Arial" w:hAnsi="Arial" w:cs="Arial"/>
                <w:color w:val="000000"/>
              </w:rPr>
            </w:pPr>
            <w:r>
              <w:rPr>
                <w:rFonts w:ascii="Arial" w:eastAsia="Arial" w:hAnsi="Arial" w:cs="Arial"/>
                <w:color w:val="000000"/>
              </w:rPr>
              <w:t>Name (person reporting)</w:t>
            </w:r>
          </w:p>
        </w:tc>
        <w:tc>
          <w:tcPr>
            <w:tcW w:w="4845" w:type="dxa"/>
            <w:tcBorders>
              <w:top w:val="single" w:sz="4" w:space="0" w:color="95B3D7"/>
              <w:left w:val="single" w:sz="4" w:space="0" w:color="95B3D7"/>
              <w:bottom w:val="single" w:sz="4" w:space="0" w:color="95B3D7"/>
              <w:right w:val="single" w:sz="4" w:space="0" w:color="95B3D7"/>
            </w:tcBorders>
          </w:tcPr>
          <w:p w14:paraId="410CA9FC" w14:textId="77777777" w:rsidR="00FD640A" w:rsidRDefault="00FD640A">
            <w:pPr>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8"/>
                <w:szCs w:val="28"/>
              </w:rPr>
            </w:pPr>
          </w:p>
        </w:tc>
      </w:tr>
      <w:tr w:rsidR="00FD640A" w14:paraId="64E8D433" w14:textId="77777777" w:rsidTr="00FD640A">
        <w:trPr>
          <w:trHeight w:val="904"/>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02C47EAB" w14:textId="77777777" w:rsidR="00FD640A" w:rsidRDefault="00000000">
            <w:pPr>
              <w:rPr>
                <w:rFonts w:ascii="Arial" w:eastAsia="Arial" w:hAnsi="Arial" w:cs="Arial"/>
                <w:color w:val="000000"/>
              </w:rPr>
            </w:pPr>
            <w:r>
              <w:rPr>
                <w:rFonts w:ascii="Arial" w:eastAsia="Arial" w:hAnsi="Arial" w:cs="Arial"/>
                <w:color w:val="000000"/>
              </w:rPr>
              <w:t>School</w:t>
            </w:r>
          </w:p>
        </w:tc>
        <w:tc>
          <w:tcPr>
            <w:tcW w:w="4845" w:type="dxa"/>
            <w:tcBorders>
              <w:top w:val="single" w:sz="4" w:space="0" w:color="95B3D7"/>
              <w:left w:val="single" w:sz="4" w:space="0" w:color="95B3D7"/>
              <w:bottom w:val="single" w:sz="4" w:space="0" w:color="95B3D7"/>
              <w:right w:val="single" w:sz="4" w:space="0" w:color="95B3D7"/>
            </w:tcBorders>
          </w:tcPr>
          <w:p w14:paraId="473C0717" w14:textId="77777777" w:rsidR="00FD640A" w:rsidRDefault="00FD640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sz w:val="28"/>
                <w:szCs w:val="28"/>
              </w:rPr>
            </w:pPr>
          </w:p>
        </w:tc>
      </w:tr>
      <w:tr w:rsidR="00FD640A" w14:paraId="2792F3E7" w14:textId="77777777" w:rsidTr="00FD640A">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53218703" w14:textId="77777777" w:rsidR="00FD640A" w:rsidRDefault="00000000">
            <w:pPr>
              <w:rPr>
                <w:rFonts w:ascii="Arial" w:eastAsia="Arial" w:hAnsi="Arial" w:cs="Arial"/>
                <w:color w:val="000000"/>
              </w:rPr>
            </w:pPr>
            <w:r>
              <w:rPr>
                <w:rFonts w:ascii="Arial" w:eastAsia="Arial" w:hAnsi="Arial" w:cs="Arial"/>
                <w:color w:val="000000"/>
              </w:rPr>
              <w:t>Date &amp; Time of Incident</w:t>
            </w:r>
          </w:p>
        </w:tc>
        <w:tc>
          <w:tcPr>
            <w:tcW w:w="4845" w:type="dxa"/>
            <w:tcBorders>
              <w:top w:val="single" w:sz="4" w:space="0" w:color="95B3D7"/>
              <w:left w:val="single" w:sz="4" w:space="0" w:color="95B3D7"/>
              <w:bottom w:val="single" w:sz="4" w:space="0" w:color="95B3D7"/>
              <w:right w:val="single" w:sz="4" w:space="0" w:color="95B3D7"/>
            </w:tcBorders>
          </w:tcPr>
          <w:p w14:paraId="484559CD" w14:textId="77777777" w:rsidR="00FD640A" w:rsidRDefault="00FD640A">
            <w:pPr>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8"/>
                <w:szCs w:val="28"/>
              </w:rPr>
            </w:pPr>
          </w:p>
        </w:tc>
      </w:tr>
      <w:tr w:rsidR="00FD640A" w14:paraId="71C6E23A" w14:textId="77777777" w:rsidTr="00FD640A">
        <w:trPr>
          <w:trHeight w:val="904"/>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4BA3A402" w14:textId="77777777" w:rsidR="00FD640A" w:rsidRDefault="00000000">
            <w:pPr>
              <w:rPr>
                <w:rFonts w:ascii="Arial" w:eastAsia="Arial" w:hAnsi="Arial" w:cs="Arial"/>
                <w:color w:val="000000"/>
              </w:rPr>
            </w:pPr>
            <w:r>
              <w:rPr>
                <w:rFonts w:ascii="Arial" w:eastAsia="Arial" w:hAnsi="Arial" w:cs="Arial"/>
                <w:color w:val="000000"/>
              </w:rPr>
              <w:t>Head teacher</w:t>
            </w:r>
          </w:p>
        </w:tc>
        <w:tc>
          <w:tcPr>
            <w:tcW w:w="4845" w:type="dxa"/>
            <w:tcBorders>
              <w:top w:val="single" w:sz="4" w:space="0" w:color="95B3D7"/>
              <w:left w:val="single" w:sz="4" w:space="0" w:color="95B3D7"/>
              <w:bottom w:val="single" w:sz="4" w:space="0" w:color="95B3D7"/>
              <w:right w:val="single" w:sz="4" w:space="0" w:color="95B3D7"/>
            </w:tcBorders>
          </w:tcPr>
          <w:p w14:paraId="5FD7B851" w14:textId="77777777" w:rsidR="00FD640A" w:rsidRDefault="00FD640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sz w:val="28"/>
                <w:szCs w:val="28"/>
              </w:rPr>
            </w:pPr>
          </w:p>
        </w:tc>
      </w:tr>
      <w:tr w:rsidR="00FD640A" w14:paraId="174D98F5" w14:textId="77777777" w:rsidTr="00FD640A">
        <w:trPr>
          <w:cnfStyle w:val="000000100000" w:firstRow="0" w:lastRow="0" w:firstColumn="0" w:lastColumn="0" w:oddVBand="0" w:evenVBand="0" w:oddHBand="1" w:evenHBand="0" w:firstRowFirstColumn="0" w:firstRowLastColumn="0" w:lastRowFirstColumn="0" w:lastRowLastColumn="0"/>
          <w:trHeight w:val="1507"/>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75E1AD00" w14:textId="77777777" w:rsidR="00FD640A" w:rsidRDefault="00000000">
            <w:pPr>
              <w:rPr>
                <w:rFonts w:ascii="Arial" w:eastAsia="Arial" w:hAnsi="Arial" w:cs="Arial"/>
                <w:color w:val="000000"/>
              </w:rPr>
            </w:pPr>
            <w:r>
              <w:rPr>
                <w:rFonts w:ascii="Arial" w:eastAsia="Arial" w:hAnsi="Arial" w:cs="Arial"/>
                <w:color w:val="000000"/>
              </w:rPr>
              <w:t>How did the incident occur? Please provide specific details</w:t>
            </w:r>
          </w:p>
        </w:tc>
        <w:tc>
          <w:tcPr>
            <w:tcW w:w="4845" w:type="dxa"/>
            <w:tcBorders>
              <w:top w:val="single" w:sz="4" w:space="0" w:color="95B3D7"/>
              <w:left w:val="single" w:sz="4" w:space="0" w:color="95B3D7"/>
              <w:bottom w:val="single" w:sz="4" w:space="0" w:color="95B3D7"/>
              <w:right w:val="single" w:sz="4" w:space="0" w:color="95B3D7"/>
            </w:tcBorders>
          </w:tcPr>
          <w:p w14:paraId="6DB6C26C" w14:textId="77777777" w:rsidR="00FD640A" w:rsidRDefault="00FD640A">
            <w:pPr>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8"/>
                <w:szCs w:val="28"/>
              </w:rPr>
            </w:pPr>
          </w:p>
        </w:tc>
      </w:tr>
      <w:tr w:rsidR="00FD640A" w14:paraId="77128811" w14:textId="77777777" w:rsidTr="00FD640A">
        <w:trPr>
          <w:trHeight w:val="854"/>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16F19BE4" w14:textId="77777777" w:rsidR="00FD640A" w:rsidRDefault="00000000">
            <w:pPr>
              <w:rPr>
                <w:rFonts w:ascii="Arial" w:eastAsia="Arial" w:hAnsi="Arial" w:cs="Arial"/>
                <w:color w:val="000000"/>
              </w:rPr>
            </w:pPr>
            <w:r>
              <w:rPr>
                <w:rFonts w:ascii="Arial" w:eastAsia="Arial" w:hAnsi="Arial" w:cs="Arial"/>
                <w:color w:val="000000"/>
              </w:rPr>
              <w:t>What data has been disclosed?</w:t>
            </w:r>
          </w:p>
        </w:tc>
        <w:tc>
          <w:tcPr>
            <w:tcW w:w="4845" w:type="dxa"/>
            <w:tcBorders>
              <w:top w:val="single" w:sz="4" w:space="0" w:color="95B3D7"/>
              <w:left w:val="single" w:sz="4" w:space="0" w:color="95B3D7"/>
              <w:bottom w:val="single" w:sz="4" w:space="0" w:color="95B3D7"/>
              <w:right w:val="single" w:sz="4" w:space="0" w:color="95B3D7"/>
            </w:tcBorders>
          </w:tcPr>
          <w:p w14:paraId="4DF625BC" w14:textId="77777777" w:rsidR="00FD640A" w:rsidRDefault="00FD640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sz w:val="28"/>
                <w:szCs w:val="28"/>
              </w:rPr>
            </w:pPr>
          </w:p>
        </w:tc>
      </w:tr>
      <w:tr w:rsidR="00FD640A" w14:paraId="55D4B51C" w14:textId="77777777" w:rsidTr="00FD640A">
        <w:trPr>
          <w:cnfStyle w:val="000000100000" w:firstRow="0" w:lastRow="0" w:firstColumn="0" w:lastColumn="0" w:oddVBand="0" w:evenVBand="0" w:oddHBand="1" w:evenHBand="0" w:firstRowFirstColumn="0" w:firstRowLastColumn="0" w:lastRowFirstColumn="0" w:lastRowLastColumn="0"/>
          <w:trHeight w:val="1507"/>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1CFAEE29" w14:textId="77777777" w:rsidR="00FD640A" w:rsidRDefault="00000000">
            <w:pPr>
              <w:rPr>
                <w:rFonts w:ascii="Arial" w:eastAsia="Arial" w:hAnsi="Arial" w:cs="Arial"/>
                <w:color w:val="000000"/>
              </w:rPr>
            </w:pPr>
            <w:r>
              <w:rPr>
                <w:rFonts w:ascii="Arial" w:eastAsia="Arial" w:hAnsi="Arial" w:cs="Arial"/>
                <w:color w:val="000000"/>
              </w:rPr>
              <w:t>Amount of personal data compromised? E.g. how many individuals have been affected?</w:t>
            </w:r>
          </w:p>
        </w:tc>
        <w:tc>
          <w:tcPr>
            <w:tcW w:w="4845" w:type="dxa"/>
            <w:tcBorders>
              <w:top w:val="single" w:sz="4" w:space="0" w:color="95B3D7"/>
              <w:left w:val="single" w:sz="4" w:space="0" w:color="95B3D7"/>
              <w:bottom w:val="single" w:sz="4" w:space="0" w:color="95B3D7"/>
              <w:right w:val="single" w:sz="4" w:space="0" w:color="95B3D7"/>
            </w:tcBorders>
          </w:tcPr>
          <w:p w14:paraId="618F69A4" w14:textId="77777777" w:rsidR="00FD640A" w:rsidRDefault="00FD640A">
            <w:pPr>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8"/>
                <w:szCs w:val="28"/>
              </w:rPr>
            </w:pPr>
          </w:p>
        </w:tc>
      </w:tr>
      <w:tr w:rsidR="00FD640A" w14:paraId="3EEDBD92" w14:textId="77777777" w:rsidTr="00FD640A">
        <w:trPr>
          <w:trHeight w:val="1456"/>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5C34C8AA" w14:textId="77777777" w:rsidR="00FD640A" w:rsidRDefault="00000000">
            <w:pPr>
              <w:rPr>
                <w:rFonts w:ascii="Arial" w:eastAsia="Arial" w:hAnsi="Arial" w:cs="Arial"/>
                <w:color w:val="000000"/>
              </w:rPr>
            </w:pPr>
            <w:r>
              <w:rPr>
                <w:rFonts w:ascii="Arial" w:eastAsia="Arial" w:hAnsi="Arial" w:cs="Arial"/>
                <w:color w:val="000000"/>
              </w:rPr>
              <w:t>If available - Please insert a copy of information that has been breached</w:t>
            </w:r>
          </w:p>
        </w:tc>
        <w:tc>
          <w:tcPr>
            <w:tcW w:w="4845" w:type="dxa"/>
            <w:tcBorders>
              <w:top w:val="single" w:sz="4" w:space="0" w:color="95B3D7"/>
              <w:left w:val="single" w:sz="4" w:space="0" w:color="95B3D7"/>
              <w:bottom w:val="single" w:sz="4" w:space="0" w:color="95B3D7"/>
              <w:right w:val="single" w:sz="4" w:space="0" w:color="95B3D7"/>
            </w:tcBorders>
          </w:tcPr>
          <w:p w14:paraId="70030543" w14:textId="77777777" w:rsidR="00FD640A" w:rsidRDefault="00FD640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000000"/>
                <w:sz w:val="28"/>
                <w:szCs w:val="28"/>
              </w:rPr>
            </w:pPr>
          </w:p>
        </w:tc>
      </w:tr>
      <w:tr w:rsidR="00FD640A" w14:paraId="22F1361A" w14:textId="77777777" w:rsidTr="00FD640A">
        <w:trPr>
          <w:cnfStyle w:val="000000100000" w:firstRow="0" w:lastRow="0" w:firstColumn="0" w:lastColumn="0" w:oddVBand="0" w:evenVBand="0" w:oddHBand="1" w:evenHBand="0" w:firstRowFirstColumn="0" w:firstRowLastColumn="0" w:lastRowFirstColumn="0" w:lastRowLastColumn="0"/>
          <w:trHeight w:val="1456"/>
        </w:trPr>
        <w:tc>
          <w:tcPr>
            <w:cnfStyle w:val="001000000000" w:firstRow="0" w:lastRow="0" w:firstColumn="1" w:lastColumn="0" w:oddVBand="0" w:evenVBand="0" w:oddHBand="0" w:evenHBand="0" w:firstRowFirstColumn="0" w:firstRowLastColumn="0" w:lastRowFirstColumn="0" w:lastRowLastColumn="0"/>
            <w:tcW w:w="4688" w:type="dxa"/>
            <w:tcBorders>
              <w:top w:val="single" w:sz="4" w:space="0" w:color="95B3D7"/>
              <w:left w:val="single" w:sz="4" w:space="0" w:color="95B3D7"/>
              <w:bottom w:val="single" w:sz="4" w:space="0" w:color="95B3D7"/>
              <w:right w:val="single" w:sz="4" w:space="0" w:color="95B3D7"/>
            </w:tcBorders>
          </w:tcPr>
          <w:p w14:paraId="418E68F9" w14:textId="77777777" w:rsidR="00FD640A" w:rsidRDefault="00000000">
            <w:pPr>
              <w:rPr>
                <w:rFonts w:ascii="Arial" w:eastAsia="Arial" w:hAnsi="Arial" w:cs="Arial"/>
                <w:color w:val="000000"/>
              </w:rPr>
            </w:pPr>
            <w:r>
              <w:rPr>
                <w:rFonts w:ascii="Arial" w:eastAsia="Arial" w:hAnsi="Arial" w:cs="Arial"/>
                <w:color w:val="000000"/>
              </w:rPr>
              <w:t xml:space="preserve">Have you received any complaints in relation to this breach? If </w:t>
            </w:r>
            <w:proofErr w:type="gramStart"/>
            <w:r>
              <w:rPr>
                <w:rFonts w:ascii="Arial" w:eastAsia="Arial" w:hAnsi="Arial" w:cs="Arial"/>
                <w:color w:val="000000"/>
              </w:rPr>
              <w:t>so</w:t>
            </w:r>
            <w:proofErr w:type="gramEnd"/>
            <w:r>
              <w:rPr>
                <w:rFonts w:ascii="Arial" w:eastAsia="Arial" w:hAnsi="Arial" w:cs="Arial"/>
                <w:color w:val="000000"/>
              </w:rPr>
              <w:t xml:space="preserve"> please email these to </w:t>
            </w:r>
            <w:hyperlink r:id="rId11">
              <w:r>
                <w:rPr>
                  <w:color w:val="0000FF"/>
                  <w:u w:val="single"/>
                </w:rPr>
                <w:t>SchoolsInformationManagement@cardiff.gov.uk</w:t>
              </w:r>
            </w:hyperlink>
          </w:p>
        </w:tc>
        <w:tc>
          <w:tcPr>
            <w:tcW w:w="4845" w:type="dxa"/>
            <w:tcBorders>
              <w:top w:val="single" w:sz="4" w:space="0" w:color="95B3D7"/>
              <w:left w:val="single" w:sz="4" w:space="0" w:color="95B3D7"/>
              <w:bottom w:val="single" w:sz="4" w:space="0" w:color="95B3D7"/>
              <w:right w:val="single" w:sz="4" w:space="0" w:color="95B3D7"/>
            </w:tcBorders>
          </w:tcPr>
          <w:p w14:paraId="0F5DF79F" w14:textId="77777777" w:rsidR="00FD640A" w:rsidRDefault="00FD640A">
            <w:pPr>
              <w:cnfStyle w:val="000000100000" w:firstRow="0" w:lastRow="0" w:firstColumn="0" w:lastColumn="0" w:oddVBand="0" w:evenVBand="0" w:oddHBand="1" w:evenHBand="0" w:firstRowFirstColumn="0" w:firstRowLastColumn="0" w:lastRowFirstColumn="0" w:lastRowLastColumn="0"/>
              <w:rPr>
                <w:rFonts w:ascii="Arial" w:eastAsia="Arial" w:hAnsi="Arial" w:cs="Arial"/>
                <w:b/>
                <w:bCs/>
                <w:color w:val="000000"/>
                <w:sz w:val="28"/>
                <w:szCs w:val="28"/>
              </w:rPr>
            </w:pPr>
          </w:p>
        </w:tc>
      </w:tr>
    </w:tbl>
    <w:p w14:paraId="1AB544C9" w14:textId="77777777" w:rsidR="00FD640A" w:rsidRDefault="00000000">
      <w:pPr>
        <w:rPr>
          <w:rFonts w:ascii="Arial" w:eastAsia="Arial" w:hAnsi="Arial" w:cs="Arial"/>
          <w:b/>
          <w:bCs/>
          <w:color w:val="000000"/>
          <w:sz w:val="20"/>
          <w:szCs w:val="20"/>
        </w:rPr>
      </w:pPr>
      <w:r>
        <w:rPr>
          <w:rFonts w:ascii="Arial" w:eastAsia="Arial" w:hAnsi="Arial" w:cs="Arial"/>
          <w:b/>
          <w:bCs/>
          <w:color w:val="000000"/>
          <w:sz w:val="20"/>
          <w:szCs w:val="20"/>
        </w:rPr>
        <w:t>**Under no circumstance should you delay reporting an incident to the Information Governance Team, and no internal investigation should be conducted**</w:t>
      </w:r>
    </w:p>
    <w:p w14:paraId="371C957B" w14:textId="77777777" w:rsidR="00FD640A" w:rsidRDefault="00000000">
      <w:pPr>
        <w:rPr>
          <w:rFonts w:ascii="Arial" w:eastAsia="Arial" w:hAnsi="Arial" w:cs="Arial"/>
          <w:b/>
          <w:bCs/>
          <w:color w:val="000000"/>
          <w:sz w:val="20"/>
          <w:szCs w:val="20"/>
        </w:rPr>
      </w:pPr>
      <w:r>
        <w:rPr>
          <w:rFonts w:ascii="Arial" w:eastAsia="Arial" w:hAnsi="Arial" w:cs="Arial"/>
          <w:b/>
          <w:bCs/>
          <w:color w:val="000000"/>
          <w:sz w:val="20"/>
          <w:szCs w:val="20"/>
        </w:rPr>
        <w:t>** All incidents must be reported within 24 hours**</w:t>
      </w:r>
    </w:p>
    <w:p w14:paraId="5E9F6DF1" w14:textId="77777777" w:rsidR="00FD640A" w:rsidRDefault="00000000">
      <w:pPr>
        <w:rPr>
          <w:rFonts w:ascii="Arial" w:eastAsia="Arial" w:hAnsi="Arial" w:cs="Arial"/>
          <w:b/>
          <w:bCs/>
          <w:color w:val="000000"/>
          <w:sz w:val="20"/>
          <w:szCs w:val="20"/>
        </w:rPr>
      </w:pPr>
      <w:r>
        <w:rPr>
          <w:rFonts w:ascii="Arial" w:eastAsia="Arial" w:hAnsi="Arial" w:cs="Arial"/>
          <w:b/>
          <w:bCs/>
          <w:color w:val="000000"/>
          <w:sz w:val="20"/>
          <w:szCs w:val="20"/>
        </w:rPr>
        <w:t xml:space="preserve">Completed forms should be sent to </w:t>
      </w:r>
      <w:hyperlink r:id="rId12">
        <w:r>
          <w:rPr>
            <w:rFonts w:ascii="Arial" w:eastAsia="Arial" w:hAnsi="Arial" w:cs="Arial"/>
            <w:b/>
            <w:bCs/>
            <w:color w:val="0000FF"/>
            <w:sz w:val="20"/>
            <w:szCs w:val="20"/>
            <w:u w:val="single"/>
          </w:rPr>
          <w:t>SchoolsInformationManagement@cardiff.gov.uk</w:t>
        </w:r>
      </w:hyperlink>
      <w:r>
        <w:rPr>
          <w:rFonts w:ascii="Arial" w:eastAsia="Arial" w:hAnsi="Arial" w:cs="Arial"/>
          <w:b/>
          <w:bCs/>
          <w:sz w:val="20"/>
          <w:szCs w:val="20"/>
        </w:rPr>
        <w:t xml:space="preserve"> </w:t>
      </w:r>
    </w:p>
    <w:p w14:paraId="2549A3B9" w14:textId="77777777" w:rsidR="00FD640A" w:rsidRDefault="00000000">
      <w:pPr>
        <w:rPr>
          <w:rFonts w:ascii="Arial" w:eastAsia="Arial" w:hAnsi="Arial" w:cs="Arial"/>
          <w:b/>
          <w:bCs/>
          <w:color w:val="000000"/>
          <w:sz w:val="20"/>
          <w:szCs w:val="20"/>
        </w:rPr>
      </w:pPr>
      <w:r>
        <w:rPr>
          <w:rFonts w:ascii="Arial" w:eastAsia="Arial" w:hAnsi="Arial" w:cs="Arial"/>
          <w:b/>
          <w:bCs/>
        </w:rPr>
        <w:lastRenderedPageBreak/>
        <w:t>Appendix 2</w:t>
      </w:r>
    </w:p>
    <w:p w14:paraId="151ABCA3" w14:textId="77777777" w:rsidR="00FD640A" w:rsidRDefault="00000000">
      <w:pPr>
        <w:tabs>
          <w:tab w:val="left" w:pos="1890"/>
        </w:tabs>
        <w:rPr>
          <w:rFonts w:ascii="Arial" w:eastAsia="Arial" w:hAnsi="Arial" w:cs="Arial"/>
          <w:b/>
          <w:bCs/>
        </w:rPr>
      </w:pPr>
      <w:r>
        <w:rPr>
          <w:rFonts w:ascii="Arial" w:eastAsia="Arial" w:hAnsi="Arial" w:cs="Arial"/>
          <w:b/>
          <w:bCs/>
        </w:rPr>
        <w:t xml:space="preserve">Offences </w:t>
      </w:r>
    </w:p>
    <w:p w14:paraId="3DC3772E" w14:textId="77777777" w:rsidR="00FD640A" w:rsidRDefault="00000000">
      <w:pPr>
        <w:rPr>
          <w:rFonts w:ascii="Arial" w:eastAsia="Arial" w:hAnsi="Arial" w:cs="Arial"/>
          <w:b/>
          <w:bCs/>
          <w:color w:val="000000"/>
        </w:rPr>
      </w:pPr>
      <w:r>
        <w:rPr>
          <w:rFonts w:ascii="Arial" w:eastAsia="Arial" w:hAnsi="Arial" w:cs="Arial"/>
          <w:b/>
          <w:bCs/>
          <w:color w:val="000000"/>
        </w:rPr>
        <w:t xml:space="preserve">189 Penalties for offences </w:t>
      </w:r>
    </w:p>
    <w:p w14:paraId="0EC001DF" w14:textId="77777777" w:rsidR="00FD640A" w:rsidRDefault="00000000">
      <w:pPr>
        <w:rPr>
          <w:rFonts w:ascii="Arial" w:eastAsia="Arial" w:hAnsi="Arial" w:cs="Arial"/>
          <w:color w:val="000000"/>
        </w:rPr>
      </w:pPr>
      <w:r>
        <w:rPr>
          <w:rFonts w:ascii="Arial" w:eastAsia="Arial" w:hAnsi="Arial" w:cs="Arial"/>
          <w:b/>
          <w:bCs/>
          <w:color w:val="000000"/>
        </w:rPr>
        <w:br/>
      </w:r>
      <w:r>
        <w:rPr>
          <w:rFonts w:ascii="Arial" w:eastAsia="Arial" w:hAnsi="Arial" w:cs="Arial"/>
          <w:color w:val="000000"/>
        </w:rPr>
        <w:t>(1) A person who commits an offence under section 119 or 173 or paragraph 15 of</w:t>
      </w:r>
      <w:r>
        <w:rPr>
          <w:rFonts w:ascii="Arial" w:eastAsia="Arial" w:hAnsi="Arial" w:cs="Arial"/>
          <w:color w:val="000000"/>
        </w:rPr>
        <w:br/>
        <w:t>Schedule 15 is liable—</w:t>
      </w:r>
      <w:r>
        <w:rPr>
          <w:rFonts w:ascii="Arial" w:eastAsia="Arial" w:hAnsi="Arial" w:cs="Arial"/>
          <w:color w:val="000000"/>
        </w:rPr>
        <w:br/>
        <w:t>(a) on summary conviction in England and Wales, to a fine;</w:t>
      </w:r>
      <w:r>
        <w:rPr>
          <w:rFonts w:ascii="Arial" w:eastAsia="Arial" w:hAnsi="Arial" w:cs="Arial"/>
          <w:color w:val="000000"/>
        </w:rPr>
        <w:br/>
        <w:t>(b) on summary conviction in Scotland or Northern Ireland, to a fine not</w:t>
      </w:r>
      <w:r>
        <w:rPr>
          <w:rFonts w:ascii="Arial" w:eastAsia="Arial" w:hAnsi="Arial" w:cs="Arial"/>
          <w:color w:val="000000"/>
        </w:rPr>
        <w:br/>
        <w:t>exceeding level 5 on the standard scale.</w:t>
      </w:r>
    </w:p>
    <w:p w14:paraId="77147989" w14:textId="77777777" w:rsidR="00FD640A" w:rsidRDefault="00000000">
      <w:pPr>
        <w:rPr>
          <w:rFonts w:ascii="Arial" w:eastAsia="Arial" w:hAnsi="Arial" w:cs="Arial"/>
          <w:color w:val="000000"/>
        </w:rPr>
      </w:pPr>
      <w:r>
        <w:rPr>
          <w:rFonts w:ascii="Arial" w:eastAsia="Arial" w:hAnsi="Arial" w:cs="Arial"/>
          <w:color w:val="000000"/>
        </w:rPr>
        <w:br/>
        <w:t>(2) A person who commits an offence under section 132, 145, 170, 171 or 181 is</w:t>
      </w:r>
      <w:r>
        <w:rPr>
          <w:rFonts w:ascii="Arial" w:eastAsia="Arial" w:hAnsi="Arial" w:cs="Arial"/>
          <w:color w:val="000000"/>
        </w:rPr>
        <w:br/>
        <w:t>liable—</w:t>
      </w:r>
      <w:r>
        <w:rPr>
          <w:rFonts w:ascii="Arial" w:eastAsia="Arial" w:hAnsi="Arial" w:cs="Arial"/>
          <w:color w:val="000000"/>
        </w:rPr>
        <w:br/>
        <w:t xml:space="preserve">(a) on summary conviction in England and Wales, to a fine; </w:t>
      </w:r>
      <w:r>
        <w:rPr>
          <w:rFonts w:ascii="Arial" w:eastAsia="Arial" w:hAnsi="Arial" w:cs="Arial"/>
          <w:color w:val="000000"/>
        </w:rPr>
        <w:br/>
        <w:t>(b) on summary conviction in Scotland or Northern Ireland, to a fine not</w:t>
      </w:r>
      <w:r>
        <w:rPr>
          <w:rFonts w:ascii="Arial" w:eastAsia="Arial" w:hAnsi="Arial" w:cs="Arial"/>
          <w:color w:val="000000"/>
        </w:rPr>
        <w:br/>
        <w:t xml:space="preserve">exceeding the statutory maximum; </w:t>
      </w:r>
      <w:r>
        <w:rPr>
          <w:rFonts w:ascii="Arial" w:eastAsia="Arial" w:hAnsi="Arial" w:cs="Arial"/>
          <w:color w:val="000000"/>
        </w:rPr>
        <w:br/>
        <w:t>(c) on conviction on indictment, to a fine.</w:t>
      </w:r>
    </w:p>
    <w:p w14:paraId="67877F71" w14:textId="77777777" w:rsidR="00FD640A" w:rsidRDefault="00000000">
      <w:pPr>
        <w:rPr>
          <w:rFonts w:ascii="Arial" w:eastAsia="Arial" w:hAnsi="Arial" w:cs="Arial"/>
          <w:color w:val="000000"/>
        </w:rPr>
      </w:pPr>
      <w:r>
        <w:rPr>
          <w:rFonts w:ascii="Arial" w:eastAsia="Arial" w:hAnsi="Arial" w:cs="Arial"/>
          <w:color w:val="000000"/>
        </w:rPr>
        <w:br/>
        <w:t>(3) Subsections (4) and (5) apply where a person is convicted of an offence under</w:t>
      </w:r>
      <w:r>
        <w:rPr>
          <w:rFonts w:ascii="Arial" w:eastAsia="Arial" w:hAnsi="Arial" w:cs="Arial"/>
          <w:color w:val="000000"/>
        </w:rPr>
        <w:br/>
        <w:t>section 170 or 181.</w:t>
      </w:r>
    </w:p>
    <w:p w14:paraId="543109DC" w14:textId="77777777" w:rsidR="00FD640A" w:rsidRDefault="00000000">
      <w:pPr>
        <w:rPr>
          <w:rFonts w:ascii="Arial" w:eastAsia="Arial" w:hAnsi="Arial" w:cs="Arial"/>
          <w:color w:val="000000"/>
        </w:rPr>
      </w:pPr>
      <w:r>
        <w:rPr>
          <w:rFonts w:ascii="Arial" w:eastAsia="Arial" w:hAnsi="Arial" w:cs="Arial"/>
          <w:color w:val="000000"/>
        </w:rPr>
        <w:br/>
        <w:t>(4) The court by or before which the person is convicted may order a document or</w:t>
      </w:r>
      <w:r>
        <w:rPr>
          <w:rFonts w:ascii="Arial" w:eastAsia="Arial" w:hAnsi="Arial" w:cs="Arial"/>
          <w:color w:val="000000"/>
        </w:rPr>
        <w:br/>
        <w:t>other material to be forfeited, destroyed or erased if—</w:t>
      </w:r>
      <w:r>
        <w:rPr>
          <w:rFonts w:ascii="Arial" w:eastAsia="Arial" w:hAnsi="Arial" w:cs="Arial"/>
          <w:color w:val="000000"/>
        </w:rPr>
        <w:br/>
        <w:t>(a) it has been used in connection with the processing of personal data, and</w:t>
      </w:r>
      <w:r>
        <w:rPr>
          <w:rFonts w:ascii="Arial" w:eastAsia="Arial" w:hAnsi="Arial" w:cs="Arial"/>
          <w:color w:val="000000"/>
        </w:rPr>
        <w:br/>
        <w:t>(b) it appears to the court to be connected with the commission of the</w:t>
      </w:r>
      <w:r>
        <w:rPr>
          <w:rFonts w:ascii="Arial" w:eastAsia="Arial" w:hAnsi="Arial" w:cs="Arial"/>
          <w:color w:val="000000"/>
        </w:rPr>
        <w:br/>
        <w:t>offence,</w:t>
      </w:r>
      <w:r>
        <w:rPr>
          <w:rFonts w:ascii="Arial" w:eastAsia="Arial" w:hAnsi="Arial" w:cs="Arial"/>
          <w:color w:val="000000"/>
        </w:rPr>
        <w:br/>
        <w:t>subject to subsection (5).</w:t>
      </w:r>
    </w:p>
    <w:p w14:paraId="785427C4" w14:textId="77777777" w:rsidR="00FD640A" w:rsidRDefault="00000000">
      <w:pPr>
        <w:rPr>
          <w:rFonts w:ascii="Arial" w:eastAsia="Arial" w:hAnsi="Arial" w:cs="Arial"/>
          <w:color w:val="000000"/>
        </w:rPr>
      </w:pPr>
      <w:r>
        <w:rPr>
          <w:rFonts w:ascii="Arial" w:eastAsia="Arial" w:hAnsi="Arial" w:cs="Arial"/>
          <w:color w:val="000000"/>
        </w:rPr>
        <w:br/>
        <w:t xml:space="preserve">(5) If a person, other than the offender, who claims to be the owner of the material, </w:t>
      </w:r>
      <w:r>
        <w:rPr>
          <w:rFonts w:ascii="Arial" w:eastAsia="Arial" w:hAnsi="Arial" w:cs="Arial"/>
          <w:color w:val="000000"/>
        </w:rPr>
        <w:br/>
        <w:t xml:space="preserve">or to be otherwise interested in the material, applies to be heard by the court, </w:t>
      </w:r>
      <w:r>
        <w:rPr>
          <w:rFonts w:ascii="Arial" w:eastAsia="Arial" w:hAnsi="Arial" w:cs="Arial"/>
          <w:color w:val="000000"/>
        </w:rPr>
        <w:br/>
        <w:t>the court must not make an order under subsection (4) without giving the person an opportunity to show why the order should not be made.</w:t>
      </w:r>
    </w:p>
    <w:p w14:paraId="4F868B27" w14:textId="77777777" w:rsidR="00FD640A" w:rsidRDefault="00000000">
      <w:pPr>
        <w:rPr>
          <w:rFonts w:ascii="Arial" w:eastAsia="Arial" w:hAnsi="Arial" w:cs="Arial"/>
          <w:b/>
          <w:bCs/>
          <w:i/>
          <w:iCs/>
          <w:color w:val="000000"/>
        </w:rPr>
      </w:pPr>
      <w:r>
        <w:rPr>
          <w:rFonts w:ascii="Arial" w:eastAsia="Arial" w:hAnsi="Arial" w:cs="Arial"/>
          <w:b/>
          <w:bCs/>
          <w:i/>
          <w:iCs/>
          <w:color w:val="000000"/>
        </w:rPr>
        <w:t>119 Inspection of personal data in accordance with international obligations</w:t>
      </w:r>
    </w:p>
    <w:p w14:paraId="7795483B" w14:textId="77777777" w:rsidR="00FD640A" w:rsidRDefault="00000000">
      <w:pPr>
        <w:rPr>
          <w:rFonts w:ascii="Arial" w:eastAsia="Arial" w:hAnsi="Arial" w:cs="Arial"/>
          <w:color w:val="000000"/>
        </w:rPr>
      </w:pPr>
      <w:r>
        <w:rPr>
          <w:rFonts w:ascii="Arial" w:eastAsia="Arial" w:hAnsi="Arial" w:cs="Arial"/>
          <w:b/>
          <w:bCs/>
          <w:color w:val="000000"/>
        </w:rPr>
        <w:br/>
      </w:r>
      <w:r>
        <w:rPr>
          <w:rFonts w:ascii="Arial" w:eastAsia="Arial" w:hAnsi="Arial" w:cs="Arial"/>
          <w:color w:val="000000"/>
        </w:rPr>
        <w:t>(1) The Commissioner may inspect personal data where the inspection is</w:t>
      </w:r>
      <w:r>
        <w:rPr>
          <w:rFonts w:ascii="Arial" w:eastAsia="Arial" w:hAnsi="Arial" w:cs="Arial"/>
          <w:color w:val="000000"/>
        </w:rPr>
        <w:br/>
        <w:t xml:space="preserve">necessary </w:t>
      </w:r>
      <w:proofErr w:type="gramStart"/>
      <w:r>
        <w:rPr>
          <w:rFonts w:ascii="Arial" w:eastAsia="Arial" w:hAnsi="Arial" w:cs="Arial"/>
          <w:color w:val="000000"/>
        </w:rPr>
        <w:t>in order to</w:t>
      </w:r>
      <w:proofErr w:type="gramEnd"/>
      <w:r>
        <w:rPr>
          <w:rFonts w:ascii="Arial" w:eastAsia="Arial" w:hAnsi="Arial" w:cs="Arial"/>
          <w:color w:val="000000"/>
        </w:rPr>
        <w:t xml:space="preserve"> discharge an international obligation of the United</w:t>
      </w:r>
      <w:r>
        <w:rPr>
          <w:rFonts w:ascii="Arial" w:eastAsia="Arial" w:hAnsi="Arial" w:cs="Arial"/>
          <w:color w:val="000000"/>
        </w:rPr>
        <w:br/>
        <w:t>Kingdom, subject to the restriction in subsection (2).</w:t>
      </w:r>
    </w:p>
    <w:p w14:paraId="3501034F" w14:textId="77777777" w:rsidR="00FD640A" w:rsidRDefault="00000000">
      <w:pPr>
        <w:rPr>
          <w:rFonts w:ascii="Arial" w:eastAsia="Arial" w:hAnsi="Arial" w:cs="Arial"/>
          <w:color w:val="000000"/>
        </w:rPr>
      </w:pPr>
      <w:r>
        <w:rPr>
          <w:rFonts w:ascii="Arial" w:eastAsia="Arial" w:hAnsi="Arial" w:cs="Arial"/>
          <w:color w:val="000000"/>
        </w:rPr>
        <w:br/>
        <w:t>(2) The power under subsection (1) is exercisable only if the personal data—</w:t>
      </w:r>
      <w:r>
        <w:rPr>
          <w:rFonts w:ascii="Arial" w:eastAsia="Arial" w:hAnsi="Arial" w:cs="Arial"/>
          <w:color w:val="000000"/>
        </w:rPr>
        <w:br/>
        <w:t>(a) is processed wholly or partly by automated means, or</w:t>
      </w:r>
      <w:r>
        <w:rPr>
          <w:rFonts w:ascii="Arial" w:eastAsia="Arial" w:hAnsi="Arial" w:cs="Arial"/>
          <w:color w:val="000000"/>
        </w:rPr>
        <w:br/>
        <w:t>(b) is processed otherwise than by automated means and forms part of a</w:t>
      </w:r>
      <w:r>
        <w:rPr>
          <w:rFonts w:ascii="Arial" w:eastAsia="Arial" w:hAnsi="Arial" w:cs="Arial"/>
          <w:color w:val="000000"/>
        </w:rPr>
        <w:br/>
        <w:t>filing system or is intended to form part of a filing system.</w:t>
      </w:r>
    </w:p>
    <w:p w14:paraId="02E8BB8E" w14:textId="77777777" w:rsidR="00FD640A" w:rsidRDefault="00000000">
      <w:pPr>
        <w:rPr>
          <w:rFonts w:ascii="Arial" w:eastAsia="Arial" w:hAnsi="Arial" w:cs="Arial"/>
          <w:color w:val="000000"/>
        </w:rPr>
      </w:pPr>
      <w:r>
        <w:rPr>
          <w:rFonts w:ascii="Arial" w:eastAsia="Arial" w:hAnsi="Arial" w:cs="Arial"/>
          <w:color w:val="000000"/>
        </w:rPr>
        <w:lastRenderedPageBreak/>
        <w:br/>
        <w:t>(6) It is an offence—</w:t>
      </w:r>
      <w:r>
        <w:rPr>
          <w:rFonts w:ascii="Arial" w:eastAsia="Arial" w:hAnsi="Arial" w:cs="Arial"/>
          <w:color w:val="000000"/>
        </w:rPr>
        <w:br/>
        <w:t>(a) intentionally to obstruct a person exercising the power under</w:t>
      </w:r>
      <w:r>
        <w:rPr>
          <w:rFonts w:ascii="Arial" w:eastAsia="Arial" w:hAnsi="Arial" w:cs="Arial"/>
          <w:color w:val="000000"/>
        </w:rPr>
        <w:br/>
        <w:t>subsection (1), or</w:t>
      </w:r>
      <w:r>
        <w:rPr>
          <w:rFonts w:ascii="Arial" w:eastAsia="Arial" w:hAnsi="Arial" w:cs="Arial"/>
          <w:color w:val="000000"/>
        </w:rPr>
        <w:br/>
        <w:t>(b) to fail without reasonable excuse to give a person exercising that power</w:t>
      </w:r>
      <w:r>
        <w:rPr>
          <w:rFonts w:ascii="Arial" w:eastAsia="Arial" w:hAnsi="Arial" w:cs="Arial"/>
          <w:color w:val="000000"/>
        </w:rPr>
        <w:br/>
        <w:t>any assistance the person may reasonably require.</w:t>
      </w:r>
    </w:p>
    <w:p w14:paraId="356FDF7F" w14:textId="77777777" w:rsidR="00FD640A" w:rsidRDefault="00000000">
      <w:pPr>
        <w:rPr>
          <w:rFonts w:ascii="Arial" w:eastAsia="Arial" w:hAnsi="Arial" w:cs="Arial"/>
          <w:b/>
          <w:bCs/>
          <w:i/>
          <w:iCs/>
          <w:color w:val="000000"/>
        </w:rPr>
      </w:pPr>
      <w:r>
        <w:rPr>
          <w:rFonts w:ascii="Arial" w:eastAsia="Arial" w:hAnsi="Arial" w:cs="Arial"/>
          <w:b/>
          <w:bCs/>
          <w:i/>
          <w:iCs/>
          <w:color w:val="000000"/>
        </w:rPr>
        <w:t>145 False statements made in response to an information notice</w:t>
      </w:r>
    </w:p>
    <w:p w14:paraId="1FDDEBB9" w14:textId="77777777" w:rsidR="00FD640A" w:rsidRDefault="00000000">
      <w:pPr>
        <w:rPr>
          <w:rFonts w:ascii="Arial" w:eastAsia="Arial" w:hAnsi="Arial" w:cs="Arial"/>
          <w:color w:val="000000"/>
        </w:rPr>
      </w:pPr>
      <w:r>
        <w:rPr>
          <w:rFonts w:ascii="Arial" w:eastAsia="Arial" w:hAnsi="Arial" w:cs="Arial"/>
          <w:b/>
          <w:bCs/>
          <w:color w:val="000000"/>
        </w:rPr>
        <w:br/>
      </w:r>
      <w:r>
        <w:rPr>
          <w:rFonts w:ascii="Arial" w:eastAsia="Arial" w:hAnsi="Arial" w:cs="Arial"/>
          <w:color w:val="000000"/>
        </w:rPr>
        <w:t>It is an offence for a person, in response to an information notice—</w:t>
      </w:r>
      <w:r>
        <w:rPr>
          <w:rFonts w:ascii="Arial" w:eastAsia="Arial" w:hAnsi="Arial" w:cs="Arial"/>
          <w:color w:val="000000"/>
        </w:rPr>
        <w:br/>
        <w:t>(a) to make a statement that the person knows to be false in a material</w:t>
      </w:r>
      <w:r>
        <w:rPr>
          <w:rFonts w:ascii="Arial" w:eastAsia="Arial" w:hAnsi="Arial" w:cs="Arial"/>
          <w:color w:val="000000"/>
        </w:rPr>
        <w:br/>
        <w:t xml:space="preserve">respect, or </w:t>
      </w:r>
      <w:r>
        <w:rPr>
          <w:rFonts w:ascii="Arial" w:eastAsia="Arial" w:hAnsi="Arial" w:cs="Arial"/>
          <w:color w:val="000000"/>
        </w:rPr>
        <w:br/>
        <w:t>(b) recklessly to make a statement that is false in a material respect.</w:t>
      </w:r>
    </w:p>
    <w:p w14:paraId="1FA8E7DC" w14:textId="77777777" w:rsidR="00FD640A" w:rsidRDefault="00000000">
      <w:pPr>
        <w:rPr>
          <w:rFonts w:ascii="Arial" w:eastAsia="Arial" w:hAnsi="Arial" w:cs="Arial"/>
          <w:b/>
          <w:bCs/>
          <w:color w:val="000000"/>
        </w:rPr>
      </w:pPr>
      <w:r>
        <w:rPr>
          <w:rFonts w:ascii="Arial" w:eastAsia="Arial" w:hAnsi="Arial" w:cs="Arial"/>
          <w:b/>
          <w:bCs/>
          <w:i/>
          <w:iCs/>
          <w:color w:val="000000"/>
        </w:rPr>
        <w:t>170 Unlawful obtaining etc. of personal data</w:t>
      </w:r>
    </w:p>
    <w:p w14:paraId="2DD3999F" w14:textId="77777777" w:rsidR="00FD640A" w:rsidRDefault="00000000">
      <w:pPr>
        <w:rPr>
          <w:rFonts w:ascii="Arial" w:eastAsia="Arial" w:hAnsi="Arial" w:cs="Arial"/>
          <w:color w:val="000000"/>
        </w:rPr>
      </w:pPr>
      <w:r>
        <w:rPr>
          <w:rFonts w:ascii="Arial" w:eastAsia="Arial" w:hAnsi="Arial" w:cs="Arial"/>
          <w:color w:val="000000"/>
        </w:rPr>
        <w:t>(1) It is an offence for a person knowingly or recklessly—</w:t>
      </w:r>
      <w:r>
        <w:rPr>
          <w:rFonts w:ascii="Arial" w:eastAsia="Arial" w:hAnsi="Arial" w:cs="Arial"/>
          <w:color w:val="000000"/>
        </w:rPr>
        <w:br/>
        <w:t xml:space="preserve">(a) to obtain or disclose personal data without the consent of the controller, </w:t>
      </w:r>
      <w:r>
        <w:rPr>
          <w:rFonts w:ascii="Arial" w:eastAsia="Arial" w:hAnsi="Arial" w:cs="Arial"/>
          <w:color w:val="000000"/>
        </w:rPr>
        <w:br/>
        <w:t>(b) to procure the disclosure of personal data to another person without</w:t>
      </w:r>
      <w:r>
        <w:rPr>
          <w:rFonts w:ascii="Arial" w:eastAsia="Arial" w:hAnsi="Arial" w:cs="Arial"/>
          <w:color w:val="000000"/>
        </w:rPr>
        <w:br/>
        <w:t>the consent of the controller, or</w:t>
      </w:r>
      <w:r>
        <w:rPr>
          <w:rFonts w:ascii="Arial" w:eastAsia="Arial" w:hAnsi="Arial" w:cs="Arial"/>
          <w:color w:val="000000"/>
        </w:rPr>
        <w:br/>
        <w:t>(c) after obtaining personal data, to retain it without the consent of the</w:t>
      </w:r>
      <w:r>
        <w:rPr>
          <w:rFonts w:ascii="Arial" w:eastAsia="Arial" w:hAnsi="Arial" w:cs="Arial"/>
          <w:color w:val="000000"/>
        </w:rPr>
        <w:br/>
        <w:t>person who was the controller in relation to the personal data when it</w:t>
      </w:r>
      <w:r>
        <w:rPr>
          <w:rFonts w:ascii="Arial" w:eastAsia="Arial" w:hAnsi="Arial" w:cs="Arial"/>
          <w:color w:val="000000"/>
        </w:rPr>
        <w:br/>
        <w:t>was obtained.</w:t>
      </w:r>
    </w:p>
    <w:p w14:paraId="29B9332B" w14:textId="77777777" w:rsidR="00FD640A" w:rsidRDefault="00000000">
      <w:pPr>
        <w:rPr>
          <w:rFonts w:ascii="Arial" w:eastAsia="Arial" w:hAnsi="Arial" w:cs="Arial"/>
          <w:color w:val="000000"/>
        </w:rPr>
      </w:pPr>
      <w:r>
        <w:rPr>
          <w:rFonts w:ascii="Arial" w:eastAsia="Arial" w:hAnsi="Arial" w:cs="Arial"/>
          <w:color w:val="000000"/>
        </w:rPr>
        <w:br/>
        <w:t>(4) It is an offence for a person to sell personal data if the person obtained the data</w:t>
      </w:r>
      <w:r>
        <w:rPr>
          <w:rFonts w:ascii="Arial" w:eastAsia="Arial" w:hAnsi="Arial" w:cs="Arial"/>
          <w:color w:val="000000"/>
        </w:rPr>
        <w:br/>
        <w:t>in circumstances in which an offence under subsection (1) was committed.</w:t>
      </w:r>
    </w:p>
    <w:p w14:paraId="40ECBA42" w14:textId="77777777" w:rsidR="00FD640A" w:rsidRDefault="00000000">
      <w:pPr>
        <w:rPr>
          <w:rFonts w:ascii="Arial" w:eastAsia="Arial" w:hAnsi="Arial" w:cs="Arial"/>
          <w:color w:val="000000"/>
        </w:rPr>
      </w:pPr>
      <w:r>
        <w:rPr>
          <w:rFonts w:ascii="Arial" w:eastAsia="Arial" w:hAnsi="Arial" w:cs="Arial"/>
          <w:color w:val="000000"/>
        </w:rPr>
        <w:br/>
        <w:t>(5) It is an offence for a person to offer to sell personal data if the person—</w:t>
      </w:r>
      <w:r>
        <w:rPr>
          <w:rFonts w:ascii="Arial" w:eastAsia="Arial" w:hAnsi="Arial" w:cs="Arial"/>
          <w:color w:val="000000"/>
        </w:rPr>
        <w:br/>
        <w:t>(a) has obtained the data in circumstances in which an offence under</w:t>
      </w:r>
      <w:r>
        <w:rPr>
          <w:rFonts w:ascii="Arial" w:eastAsia="Arial" w:hAnsi="Arial" w:cs="Arial"/>
          <w:color w:val="000000"/>
        </w:rPr>
        <w:br/>
        <w:t xml:space="preserve">subsection (1) was committed, or; </w:t>
      </w:r>
      <w:r>
        <w:rPr>
          <w:rFonts w:ascii="Arial" w:eastAsia="Arial" w:hAnsi="Arial" w:cs="Arial"/>
          <w:color w:val="000000"/>
        </w:rPr>
        <w:br/>
        <w:t>(b) subsequently obtains the data in such circumstances.</w:t>
      </w:r>
    </w:p>
    <w:p w14:paraId="54B2544F" w14:textId="77777777" w:rsidR="00FD640A" w:rsidRDefault="00000000">
      <w:pPr>
        <w:rPr>
          <w:rFonts w:ascii="Arial" w:eastAsia="Arial" w:hAnsi="Arial" w:cs="Arial"/>
          <w:color w:val="000000"/>
        </w:rPr>
      </w:pPr>
      <w:r>
        <w:rPr>
          <w:rFonts w:ascii="Arial" w:eastAsia="Arial" w:hAnsi="Arial" w:cs="Arial"/>
          <w:color w:val="000000"/>
        </w:rPr>
        <w:br/>
        <w:t>(6) For the purposes of subsection (5), an advertisement indicating that personal</w:t>
      </w:r>
      <w:r>
        <w:rPr>
          <w:rFonts w:ascii="Arial" w:eastAsia="Arial" w:hAnsi="Arial" w:cs="Arial"/>
          <w:color w:val="000000"/>
        </w:rPr>
        <w:br/>
        <w:t>data is or may be for sale is an offer to sell the data.</w:t>
      </w:r>
    </w:p>
    <w:p w14:paraId="58594ED6" w14:textId="77777777" w:rsidR="00FD640A" w:rsidRDefault="00000000">
      <w:pPr>
        <w:rPr>
          <w:rFonts w:ascii="Arial" w:eastAsia="Arial" w:hAnsi="Arial" w:cs="Arial"/>
          <w:color w:val="000000"/>
        </w:rPr>
      </w:pPr>
      <w:r>
        <w:rPr>
          <w:rFonts w:ascii="Arial" w:eastAsia="Arial" w:hAnsi="Arial" w:cs="Arial"/>
          <w:color w:val="000000"/>
        </w:rPr>
        <w:br/>
        <w:t>(7) In this section—</w:t>
      </w:r>
      <w:r>
        <w:rPr>
          <w:rFonts w:ascii="Arial" w:eastAsia="Arial" w:hAnsi="Arial" w:cs="Arial"/>
          <w:color w:val="000000"/>
        </w:rPr>
        <w:br/>
        <w:t>(a) references to the consent of a controller do not include the consent of a</w:t>
      </w:r>
      <w:r>
        <w:rPr>
          <w:rFonts w:ascii="Arial" w:eastAsia="Arial" w:hAnsi="Arial" w:cs="Arial"/>
          <w:color w:val="000000"/>
        </w:rPr>
        <w:br/>
        <w:t>person who is a controller by virtue of Article 28(10) of the UK GDPR or</w:t>
      </w:r>
      <w:r>
        <w:rPr>
          <w:rFonts w:ascii="Arial" w:eastAsia="Arial" w:hAnsi="Arial" w:cs="Arial"/>
          <w:color w:val="000000"/>
        </w:rPr>
        <w:br/>
        <w:t>section 59(8) or 105(3) of this Act (processor to be treated as controller</w:t>
      </w:r>
      <w:r>
        <w:rPr>
          <w:rFonts w:ascii="Arial" w:eastAsia="Arial" w:hAnsi="Arial" w:cs="Arial"/>
          <w:color w:val="000000"/>
        </w:rPr>
        <w:br/>
        <w:t xml:space="preserve">in certain circumstances); </w:t>
      </w:r>
      <w:r>
        <w:rPr>
          <w:rFonts w:ascii="Arial" w:eastAsia="Arial" w:hAnsi="Arial" w:cs="Arial"/>
          <w:color w:val="000000"/>
        </w:rPr>
        <w:br/>
        <w:t>(b) where there is more than one controller, such references are references</w:t>
      </w:r>
      <w:r>
        <w:rPr>
          <w:rFonts w:ascii="Arial" w:eastAsia="Arial" w:hAnsi="Arial" w:cs="Arial"/>
          <w:color w:val="000000"/>
        </w:rPr>
        <w:br/>
        <w:t>to the consent of one or more of them</w:t>
      </w:r>
    </w:p>
    <w:p w14:paraId="75325669" w14:textId="77777777" w:rsidR="00FD640A" w:rsidRDefault="00000000">
      <w:pPr>
        <w:rPr>
          <w:rFonts w:ascii="Arial" w:eastAsia="Arial" w:hAnsi="Arial" w:cs="Arial"/>
          <w:b/>
          <w:bCs/>
          <w:color w:val="000000"/>
        </w:rPr>
      </w:pPr>
      <w:r>
        <w:rPr>
          <w:rFonts w:ascii="Arial" w:eastAsia="Arial" w:hAnsi="Arial" w:cs="Arial"/>
          <w:b/>
          <w:bCs/>
          <w:i/>
          <w:iCs/>
          <w:color w:val="000000"/>
        </w:rPr>
        <w:t>171 Re-identification of de-identified personal data</w:t>
      </w:r>
    </w:p>
    <w:p w14:paraId="2729DEDA" w14:textId="77777777" w:rsidR="00FD640A" w:rsidRDefault="00000000">
      <w:pPr>
        <w:rPr>
          <w:rFonts w:ascii="Arial" w:eastAsia="Arial" w:hAnsi="Arial" w:cs="Arial"/>
          <w:color w:val="000000"/>
        </w:rPr>
      </w:pPr>
      <w:r>
        <w:rPr>
          <w:rFonts w:ascii="Arial" w:eastAsia="Arial" w:hAnsi="Arial" w:cs="Arial"/>
          <w:color w:val="000000"/>
        </w:rPr>
        <w:lastRenderedPageBreak/>
        <w:t>(1) It is an offence for a person knowingly or recklessly to re-identify information</w:t>
      </w:r>
      <w:r>
        <w:rPr>
          <w:rFonts w:ascii="Arial" w:eastAsia="Arial" w:hAnsi="Arial" w:cs="Arial"/>
          <w:color w:val="000000"/>
        </w:rPr>
        <w:br/>
        <w:t>that is de-identified personal data without the consent of the controller</w:t>
      </w:r>
      <w:r>
        <w:rPr>
          <w:rFonts w:ascii="Arial" w:eastAsia="Arial" w:hAnsi="Arial" w:cs="Arial"/>
          <w:color w:val="000000"/>
        </w:rPr>
        <w:br/>
        <w:t>responsible for de-identifying the personal data.</w:t>
      </w:r>
    </w:p>
    <w:p w14:paraId="0C570978" w14:textId="77777777" w:rsidR="00FD640A" w:rsidRDefault="00000000">
      <w:pPr>
        <w:rPr>
          <w:rFonts w:ascii="Arial" w:eastAsia="Arial" w:hAnsi="Arial" w:cs="Arial"/>
          <w:color w:val="000000"/>
        </w:rPr>
      </w:pPr>
      <w:r>
        <w:rPr>
          <w:rFonts w:ascii="Arial" w:eastAsia="Arial" w:hAnsi="Arial" w:cs="Arial"/>
          <w:color w:val="000000"/>
        </w:rPr>
        <w:t>(2) For the purposes of this section and section 172—</w:t>
      </w:r>
      <w:r>
        <w:rPr>
          <w:rFonts w:ascii="Arial" w:eastAsia="Arial" w:hAnsi="Arial" w:cs="Arial"/>
          <w:color w:val="000000"/>
        </w:rPr>
        <w:br/>
        <w:t>(a) personal data is “de-identified” if it has been processed in such a</w:t>
      </w:r>
      <w:r>
        <w:rPr>
          <w:rFonts w:ascii="Arial" w:eastAsia="Arial" w:hAnsi="Arial" w:cs="Arial"/>
          <w:color w:val="000000"/>
        </w:rPr>
        <w:br/>
        <w:t>manner that it can no longer be attributed, without more, to a specific</w:t>
      </w:r>
      <w:r>
        <w:rPr>
          <w:rFonts w:ascii="Arial" w:eastAsia="Arial" w:hAnsi="Arial" w:cs="Arial"/>
          <w:color w:val="000000"/>
        </w:rPr>
        <w:br/>
        <w:t xml:space="preserve">data subject; </w:t>
      </w:r>
      <w:r>
        <w:rPr>
          <w:rFonts w:ascii="Arial" w:eastAsia="Arial" w:hAnsi="Arial" w:cs="Arial"/>
          <w:color w:val="000000"/>
        </w:rPr>
        <w:br/>
        <w:t>(b) a person “re-identifies” information if the person takes steps which</w:t>
      </w:r>
      <w:r>
        <w:rPr>
          <w:rFonts w:ascii="Arial" w:eastAsia="Arial" w:hAnsi="Arial" w:cs="Arial"/>
          <w:color w:val="000000"/>
        </w:rPr>
        <w:br/>
        <w:t>result in the information no longer being de-identified within the</w:t>
      </w:r>
      <w:r>
        <w:rPr>
          <w:rFonts w:ascii="Arial" w:eastAsia="Arial" w:hAnsi="Arial" w:cs="Arial"/>
          <w:color w:val="000000"/>
        </w:rPr>
        <w:br/>
        <w:t>meaning of paragraph (a).</w:t>
      </w:r>
    </w:p>
    <w:p w14:paraId="021303E2" w14:textId="77777777" w:rsidR="00FD640A" w:rsidRDefault="00000000">
      <w:pPr>
        <w:rPr>
          <w:rFonts w:ascii="Arial" w:eastAsia="Arial" w:hAnsi="Arial" w:cs="Arial"/>
          <w:color w:val="000000"/>
        </w:rPr>
      </w:pPr>
      <w:r>
        <w:rPr>
          <w:rFonts w:ascii="Arial" w:eastAsia="Arial" w:hAnsi="Arial" w:cs="Arial"/>
          <w:color w:val="000000"/>
        </w:rPr>
        <w:t>(5) It is an offence for a person knowingly or recklessly to process personal data</w:t>
      </w:r>
      <w:r>
        <w:rPr>
          <w:rFonts w:ascii="Arial" w:eastAsia="Arial" w:hAnsi="Arial" w:cs="Arial"/>
          <w:color w:val="000000"/>
        </w:rPr>
        <w:br/>
        <w:t>that is information that has been re-identified where the person does so—</w:t>
      </w:r>
      <w:r>
        <w:rPr>
          <w:rFonts w:ascii="Arial" w:eastAsia="Arial" w:hAnsi="Arial" w:cs="Arial"/>
          <w:color w:val="000000"/>
        </w:rPr>
        <w:br/>
        <w:t>(a) without the consent of the controller responsible for de-identifying the</w:t>
      </w:r>
      <w:r>
        <w:rPr>
          <w:rFonts w:ascii="Arial" w:eastAsia="Arial" w:hAnsi="Arial" w:cs="Arial"/>
          <w:color w:val="000000"/>
        </w:rPr>
        <w:br/>
        <w:t xml:space="preserve">personal data, and </w:t>
      </w:r>
      <w:r>
        <w:rPr>
          <w:rFonts w:ascii="Arial" w:eastAsia="Arial" w:hAnsi="Arial" w:cs="Arial"/>
          <w:color w:val="000000"/>
        </w:rPr>
        <w:br/>
        <w:t>(b) in circumstances in which the re-identification was an offence under</w:t>
      </w:r>
      <w:r>
        <w:rPr>
          <w:rFonts w:ascii="Arial" w:eastAsia="Arial" w:hAnsi="Arial" w:cs="Arial"/>
          <w:color w:val="000000"/>
        </w:rPr>
        <w:br/>
        <w:t>subsection (1).</w:t>
      </w:r>
    </w:p>
    <w:p w14:paraId="2E88ACED" w14:textId="77777777" w:rsidR="00FD640A" w:rsidRDefault="00000000">
      <w:pPr>
        <w:rPr>
          <w:rFonts w:ascii="Arial" w:eastAsia="Arial" w:hAnsi="Arial" w:cs="Arial"/>
          <w:color w:val="000000"/>
        </w:rPr>
      </w:pPr>
      <w:bookmarkStart w:id="0" w:name="_heading=h.3yikbgu3ocmf" w:colFirst="0" w:colLast="0"/>
      <w:bookmarkEnd w:id="0"/>
      <w:r>
        <w:rPr>
          <w:rFonts w:ascii="Arial" w:eastAsia="Arial" w:hAnsi="Arial" w:cs="Arial"/>
          <w:color w:val="000000"/>
        </w:rPr>
        <w:t>(8) In this section—</w:t>
      </w:r>
      <w:r>
        <w:rPr>
          <w:rFonts w:ascii="Arial" w:eastAsia="Arial" w:hAnsi="Arial" w:cs="Arial"/>
          <w:color w:val="000000"/>
        </w:rPr>
        <w:br/>
        <w:t>(a) references to the consent of a controller do not include the consent of a</w:t>
      </w:r>
      <w:r>
        <w:rPr>
          <w:rFonts w:ascii="Arial" w:eastAsia="Arial" w:hAnsi="Arial" w:cs="Arial"/>
          <w:color w:val="000000"/>
        </w:rPr>
        <w:br/>
        <w:t>person who is a controller by virtue of Article 28(10) of the GDPR or</w:t>
      </w:r>
      <w:r>
        <w:rPr>
          <w:rFonts w:ascii="Arial" w:eastAsia="Arial" w:hAnsi="Arial" w:cs="Arial"/>
          <w:color w:val="000000"/>
        </w:rPr>
        <w:br/>
        <w:t>section 59(8) or 105(3) of this Act (processor to be treated as controller</w:t>
      </w:r>
      <w:r>
        <w:rPr>
          <w:rFonts w:ascii="Arial" w:eastAsia="Arial" w:hAnsi="Arial" w:cs="Arial"/>
          <w:color w:val="000000"/>
        </w:rPr>
        <w:br/>
        <w:t xml:space="preserve">in certain circumstances); </w:t>
      </w:r>
      <w:r>
        <w:rPr>
          <w:rFonts w:ascii="Arial" w:eastAsia="Arial" w:hAnsi="Arial" w:cs="Arial"/>
          <w:color w:val="000000"/>
        </w:rPr>
        <w:br/>
        <w:t>(b) where there is more than one controller, such references are references</w:t>
      </w:r>
      <w:r>
        <w:rPr>
          <w:rFonts w:ascii="Arial" w:eastAsia="Arial" w:hAnsi="Arial" w:cs="Arial"/>
          <w:color w:val="000000"/>
        </w:rPr>
        <w:br/>
        <w:t>to the consent of one or more of them</w:t>
      </w:r>
    </w:p>
    <w:p w14:paraId="4C5EBFF0" w14:textId="77777777" w:rsidR="00FD640A" w:rsidRDefault="00000000">
      <w:pPr>
        <w:rPr>
          <w:rFonts w:ascii="Arial" w:eastAsia="Arial" w:hAnsi="Arial" w:cs="Arial"/>
          <w:b/>
          <w:bCs/>
          <w:color w:val="000000"/>
        </w:rPr>
      </w:pPr>
      <w:r>
        <w:rPr>
          <w:rFonts w:ascii="Arial" w:eastAsia="Arial" w:hAnsi="Arial" w:cs="Arial"/>
          <w:b/>
          <w:bCs/>
          <w:i/>
          <w:iCs/>
          <w:color w:val="000000"/>
        </w:rPr>
        <w:t>173 Alteration etc. of personal data to prevent disclosure</w:t>
      </w:r>
    </w:p>
    <w:p w14:paraId="69F641BC" w14:textId="77777777" w:rsidR="00FD640A" w:rsidRDefault="00000000">
      <w:pPr>
        <w:rPr>
          <w:rFonts w:ascii="Arial" w:eastAsia="Arial" w:hAnsi="Arial" w:cs="Arial"/>
          <w:color w:val="000000"/>
        </w:rPr>
      </w:pPr>
      <w:r>
        <w:rPr>
          <w:rFonts w:ascii="Arial" w:eastAsia="Arial" w:hAnsi="Arial" w:cs="Arial"/>
          <w:color w:val="000000"/>
        </w:rPr>
        <w:t>(1) Subsection (3) applies where—</w:t>
      </w:r>
      <w:r>
        <w:rPr>
          <w:rFonts w:ascii="Arial" w:eastAsia="Arial" w:hAnsi="Arial" w:cs="Arial"/>
          <w:color w:val="000000"/>
        </w:rPr>
        <w:br/>
        <w:t xml:space="preserve">(a) a request has been made in exercise of a data subject access right, and </w:t>
      </w:r>
      <w:r>
        <w:rPr>
          <w:rFonts w:ascii="Arial" w:eastAsia="Arial" w:hAnsi="Arial" w:cs="Arial"/>
          <w:color w:val="000000"/>
        </w:rPr>
        <w:br/>
        <w:t>(b) the person making the request would have been entitled to receive</w:t>
      </w:r>
      <w:r>
        <w:rPr>
          <w:rFonts w:ascii="Arial" w:eastAsia="Arial" w:hAnsi="Arial" w:cs="Arial"/>
          <w:color w:val="000000"/>
        </w:rPr>
        <w:br/>
        <w:t>information in response to that request.</w:t>
      </w:r>
    </w:p>
    <w:p w14:paraId="2744CA8D" w14:textId="77777777" w:rsidR="00FD640A" w:rsidRDefault="00000000">
      <w:pPr>
        <w:rPr>
          <w:rFonts w:ascii="Arial" w:eastAsia="Arial" w:hAnsi="Arial" w:cs="Arial"/>
          <w:b/>
          <w:bCs/>
        </w:rPr>
      </w:pPr>
      <w:r>
        <w:rPr>
          <w:rFonts w:ascii="Arial" w:eastAsia="Arial" w:hAnsi="Arial" w:cs="Arial"/>
          <w:color w:val="000000"/>
        </w:rPr>
        <w:t>(2) In this section, “data subject access right” means a right under—</w:t>
      </w:r>
      <w:r>
        <w:rPr>
          <w:rFonts w:ascii="Arial" w:eastAsia="Arial" w:hAnsi="Arial" w:cs="Arial"/>
          <w:color w:val="000000"/>
        </w:rPr>
        <w:br/>
        <w:t>(a) Article 15 of the UK GDPR (right of access by the data subject);</w:t>
      </w:r>
      <w:r>
        <w:rPr>
          <w:rFonts w:ascii="Arial" w:eastAsia="Arial" w:hAnsi="Arial" w:cs="Arial"/>
          <w:color w:val="000000"/>
        </w:rPr>
        <w:br/>
        <w:t>(b) Article 20 of the UK GDPR (right to data portability);</w:t>
      </w:r>
      <w:r>
        <w:rPr>
          <w:rFonts w:ascii="Arial" w:eastAsia="Arial" w:hAnsi="Arial" w:cs="Arial"/>
          <w:color w:val="000000"/>
        </w:rPr>
        <w:br/>
        <w:t>(c) section 45 of this Act (law enforcement processing: right of access by the</w:t>
      </w:r>
      <w:r>
        <w:rPr>
          <w:rFonts w:ascii="Arial" w:eastAsia="Arial" w:hAnsi="Arial" w:cs="Arial"/>
          <w:color w:val="000000"/>
        </w:rPr>
        <w:br/>
        <w:t>data subject);</w:t>
      </w:r>
      <w:r>
        <w:rPr>
          <w:rFonts w:ascii="Arial" w:eastAsia="Arial" w:hAnsi="Arial" w:cs="Arial"/>
          <w:color w:val="000000"/>
        </w:rPr>
        <w:br/>
        <w:t>(d) section 94 of this Act (intelligence services processing: right of access by</w:t>
      </w:r>
      <w:r>
        <w:rPr>
          <w:rFonts w:ascii="Arial" w:eastAsia="Arial" w:hAnsi="Arial" w:cs="Arial"/>
          <w:color w:val="000000"/>
        </w:rPr>
        <w:br/>
        <w:t>the data subject).</w:t>
      </w:r>
    </w:p>
    <w:sectPr w:rsidR="00FD640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1332E9C-F670-4A38-AE78-F1943246A9A1}"/>
    <w:embedBold r:id="rId2" w:fontKey="{6C1A0C78-0E1D-4FAA-B43A-6AA7439AA976}"/>
    <w:embedItalic r:id="rId3" w:fontKey="{149D2EDF-205B-47AE-99D5-83B38E91ABF6}"/>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12A5A8E0-30FA-4DB9-AA08-98408E07C901}"/>
  </w:font>
  <w:font w:name="Italic">
    <w:panose1 w:val="00000000000000000000"/>
    <w:charset w:val="00"/>
    <w:family w:val="roman"/>
    <w:notTrueType/>
    <w:pitch w:val="default"/>
  </w:font>
  <w:font w:name="Bold">
    <w:panose1 w:val="00000000000000000000"/>
    <w:charset w:val="00"/>
    <w:family w:val="roman"/>
    <w:notTrueType/>
    <w:pitch w:val="default"/>
  </w:font>
  <w:font w:name="BookAntiquaParliamentary">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5" w:fontKey="{E661690F-7186-4EF2-AD43-6DD4CDE69E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2D332A7D-D03F-4FDC-B77C-954EFB7B94B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40A"/>
    <w:rsid w:val="001B1180"/>
    <w:rsid w:val="00B811AD"/>
    <w:rsid w:val="00FD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667BF"/>
  <w15:docId w15:val="{F62D4932-5052-437E-A867-4BB2B4F66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D81018"/>
    <w:rPr>
      <w:color w:val="0000FF" w:themeColor="hyperlink"/>
      <w:u w:val="single"/>
    </w:rPr>
  </w:style>
  <w:style w:type="paragraph" w:styleId="ListParagraph">
    <w:name w:val="List Paragraph"/>
    <w:basedOn w:val="Normal"/>
    <w:uiPriority w:val="34"/>
    <w:qFormat/>
    <w:rsid w:val="00DA76F8"/>
    <w:pPr>
      <w:spacing w:after="160" w:line="259" w:lineRule="auto"/>
      <w:ind w:left="720"/>
      <w:contextualSpacing/>
    </w:pPr>
  </w:style>
  <w:style w:type="paragraph" w:styleId="Header">
    <w:name w:val="header"/>
    <w:basedOn w:val="Normal"/>
    <w:link w:val="HeaderChar"/>
    <w:uiPriority w:val="99"/>
    <w:unhideWhenUsed/>
    <w:rsid w:val="00532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75D"/>
  </w:style>
  <w:style w:type="paragraph" w:styleId="Footer">
    <w:name w:val="footer"/>
    <w:basedOn w:val="Normal"/>
    <w:link w:val="FooterChar"/>
    <w:uiPriority w:val="99"/>
    <w:unhideWhenUsed/>
    <w:rsid w:val="00532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75D"/>
  </w:style>
  <w:style w:type="table" w:styleId="MediumGrid1-Accent1">
    <w:name w:val="Medium Grid 1 Accent 1"/>
    <w:basedOn w:val="TableNormal"/>
    <w:uiPriority w:val="67"/>
    <w:rsid w:val="004771A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BalloonText">
    <w:name w:val="Balloon Text"/>
    <w:basedOn w:val="Normal"/>
    <w:link w:val="BalloonTextChar"/>
    <w:uiPriority w:val="99"/>
    <w:semiHidden/>
    <w:unhideWhenUsed/>
    <w:rsid w:val="00611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0C7"/>
    <w:rPr>
      <w:rFonts w:ascii="Tahoma" w:hAnsi="Tahoma" w:cs="Tahoma"/>
      <w:sz w:val="16"/>
      <w:szCs w:val="16"/>
    </w:rPr>
  </w:style>
  <w:style w:type="table" w:styleId="TableGrid">
    <w:name w:val="Table Grid"/>
    <w:basedOn w:val="TableNormal"/>
    <w:uiPriority w:val="59"/>
    <w:rsid w:val="00057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057AF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920043"/>
    <w:rPr>
      <w:sz w:val="16"/>
      <w:szCs w:val="16"/>
    </w:rPr>
  </w:style>
  <w:style w:type="paragraph" w:styleId="CommentText">
    <w:name w:val="annotation text"/>
    <w:basedOn w:val="Normal"/>
    <w:link w:val="CommentTextChar"/>
    <w:uiPriority w:val="99"/>
    <w:semiHidden/>
    <w:unhideWhenUsed/>
    <w:rsid w:val="00920043"/>
    <w:pPr>
      <w:spacing w:line="240" w:lineRule="auto"/>
    </w:pPr>
    <w:rPr>
      <w:sz w:val="20"/>
      <w:szCs w:val="20"/>
    </w:rPr>
  </w:style>
  <w:style w:type="character" w:customStyle="1" w:styleId="CommentTextChar">
    <w:name w:val="Comment Text Char"/>
    <w:basedOn w:val="DefaultParagraphFont"/>
    <w:link w:val="CommentText"/>
    <w:uiPriority w:val="99"/>
    <w:semiHidden/>
    <w:rsid w:val="00920043"/>
    <w:rPr>
      <w:sz w:val="20"/>
      <w:szCs w:val="20"/>
    </w:rPr>
  </w:style>
  <w:style w:type="paragraph" w:styleId="CommentSubject">
    <w:name w:val="annotation subject"/>
    <w:basedOn w:val="CommentText"/>
    <w:next w:val="CommentText"/>
    <w:link w:val="CommentSubjectChar"/>
    <w:uiPriority w:val="99"/>
    <w:semiHidden/>
    <w:unhideWhenUsed/>
    <w:rsid w:val="00920043"/>
    <w:rPr>
      <w:b/>
      <w:bCs/>
    </w:rPr>
  </w:style>
  <w:style w:type="character" w:customStyle="1" w:styleId="CommentSubjectChar">
    <w:name w:val="Comment Subject Char"/>
    <w:basedOn w:val="CommentTextChar"/>
    <w:link w:val="CommentSubject"/>
    <w:uiPriority w:val="99"/>
    <w:semiHidden/>
    <w:rsid w:val="00920043"/>
    <w:rPr>
      <w:b/>
      <w:bCs/>
      <w:sz w:val="20"/>
      <w:szCs w:val="20"/>
    </w:rPr>
  </w:style>
  <w:style w:type="character" w:customStyle="1" w:styleId="fontstyle01">
    <w:name w:val="fontstyle01"/>
    <w:basedOn w:val="DefaultParagraphFont"/>
    <w:rsid w:val="00A9641D"/>
    <w:rPr>
      <w:rFonts w:ascii="Italic" w:hAnsi="Italic" w:hint="default"/>
      <w:b w:val="0"/>
      <w:bCs w:val="0"/>
      <w:i/>
      <w:iCs/>
      <w:color w:val="000000"/>
      <w:sz w:val="22"/>
      <w:szCs w:val="22"/>
    </w:rPr>
  </w:style>
  <w:style w:type="character" w:customStyle="1" w:styleId="fontstyle11">
    <w:name w:val="fontstyle11"/>
    <w:basedOn w:val="DefaultParagraphFont"/>
    <w:rsid w:val="00A9641D"/>
    <w:rPr>
      <w:rFonts w:ascii="Bold" w:hAnsi="Bold" w:hint="default"/>
      <w:b/>
      <w:bCs/>
      <w:i w:val="0"/>
      <w:iCs w:val="0"/>
      <w:color w:val="000000"/>
      <w:sz w:val="22"/>
      <w:szCs w:val="22"/>
    </w:rPr>
  </w:style>
  <w:style w:type="character" w:customStyle="1" w:styleId="fontstyle31">
    <w:name w:val="fontstyle31"/>
    <w:basedOn w:val="DefaultParagraphFont"/>
    <w:rsid w:val="00A9641D"/>
    <w:rPr>
      <w:rFonts w:ascii="BookAntiquaParliamentary" w:hAnsi="BookAntiquaParliamentary" w:hint="default"/>
      <w:b w:val="0"/>
      <w:bCs w:val="0"/>
      <w:i w:val="0"/>
      <w:iCs w:val="0"/>
      <w:color w:val="000000"/>
      <w:sz w:val="22"/>
      <w:szCs w:val="22"/>
    </w:rPr>
  </w:style>
  <w:style w:type="character" w:customStyle="1" w:styleId="fontstyle21">
    <w:name w:val="fontstyle21"/>
    <w:basedOn w:val="DefaultParagraphFont"/>
    <w:rsid w:val="00A9641D"/>
    <w:rPr>
      <w:rFonts w:ascii="BookAntiquaParliamentary" w:hAnsi="BookAntiquaParliamentary" w:hint="default"/>
      <w:b w:val="0"/>
      <w:bCs w:val="0"/>
      <w:i w:val="0"/>
      <w:iCs w:val="0"/>
      <w:color w:val="000000"/>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sing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oolsInformationManagement@cardiff.gov.uk" TargetMode="External"/><Relationship Id="rId12" Type="http://schemas.openxmlformats.org/officeDocument/2006/relationships/hyperlink" Target="mailto:SchoolsInformationManagement@cardiff.gov.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choolsInformationManagement@cardiff.gov.uk" TargetMode="External"/><Relationship Id="rId11" Type="http://schemas.openxmlformats.org/officeDocument/2006/relationships/hyperlink" Target="mailto:SchoolsInformationManagement@cardiff.gov.uk" TargetMode="External"/><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yQiYLetajgGCFjl6P+d2UCg16Q==">CgMxLjAyDmguM3lpa2JndTNvY21mOAByITEzUk1KRFRDd1V3Y2dvd29HSWx0TGM2T09RcHdTUFo5UQ==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2191</Words>
  <Characters>12492</Characters>
  <Application>Microsoft Office Word</Application>
  <DocSecurity>0</DocSecurity>
  <Lines>104</Lines>
  <Paragraphs>29</Paragraphs>
  <ScaleCrop>false</ScaleCrop>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England</dc:creator>
  <cp:lastModifiedBy>Shipton-Jones, Paula</cp:lastModifiedBy>
  <cp:revision>2</cp:revision>
  <dcterms:created xsi:type="dcterms:W3CDTF">2026-10-14T12:06:00Z</dcterms:created>
  <dcterms:modified xsi:type="dcterms:W3CDTF">2026-10-14T12:06:00Z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0x0101009B39FBDA442A9F43AA75110AA68D052D</vt:lpwstr>
  </property>
  <property fmtid="{D5CDD505-2E9C-101B-9397-08002B2CF9AE}" pid="3" name="_dlc_DocIdItemGuid">
    <vt:lpwstr>0eddf289-3c44-4d48-bc04-f242f30390e0</vt:lpwstr>
  </property>
  <property fmtid="{D5CDD505-2E9C-101B-9397-08002B2CF9AE}" pid="4" name="_cx_CodeWords">
    <vt:lpwstr/>
  </property>
  <property fmtid="{D5CDD505-2E9C-101B-9397-08002B2CF9AE}" pid="5" name="_cx_NationalCaveats">
    <vt:lpwstr/>
  </property>
  <property fmtid="{D5CDD505-2E9C-101B-9397-08002B2CF9AE}" pid="6" name="_cx_SecurityMarkings">
    <vt:lpwstr/>
  </property>
</Properties>
</file>